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7065" w14:textId="77777777" w:rsidR="003260AC" w:rsidRDefault="003260AC">
      <w:pPr>
        <w:pBdr>
          <w:top w:val="nil"/>
          <w:left w:val="nil"/>
          <w:bottom w:val="nil"/>
          <w:right w:val="nil"/>
          <w:between w:val="nil"/>
        </w:pBdr>
        <w:rPr>
          <w:rFonts w:ascii="Times New Roman" w:eastAsia="Times New Roman" w:hAnsi="Times New Roman" w:cs="Times New Roman"/>
          <w:color w:val="000000"/>
          <w:sz w:val="20"/>
          <w:szCs w:val="20"/>
        </w:rPr>
      </w:pPr>
    </w:p>
    <w:p w14:paraId="2834893E" w14:textId="77777777" w:rsidR="003260AC" w:rsidRDefault="003260AC">
      <w:pPr>
        <w:pBdr>
          <w:top w:val="nil"/>
          <w:left w:val="nil"/>
          <w:bottom w:val="nil"/>
          <w:right w:val="nil"/>
          <w:between w:val="nil"/>
        </w:pBdr>
        <w:rPr>
          <w:rFonts w:ascii="Times New Roman" w:eastAsia="Times New Roman" w:hAnsi="Times New Roman" w:cs="Times New Roman"/>
          <w:color w:val="000000"/>
          <w:sz w:val="20"/>
          <w:szCs w:val="20"/>
        </w:rPr>
      </w:pPr>
    </w:p>
    <w:p w14:paraId="0281CBFF" w14:textId="77777777" w:rsidR="003260AC" w:rsidRDefault="003260AC">
      <w:pPr>
        <w:pBdr>
          <w:top w:val="nil"/>
          <w:left w:val="nil"/>
          <w:bottom w:val="nil"/>
          <w:right w:val="nil"/>
          <w:between w:val="nil"/>
        </w:pBdr>
        <w:rPr>
          <w:rFonts w:ascii="Times New Roman" w:eastAsia="Times New Roman" w:hAnsi="Times New Roman" w:cs="Times New Roman"/>
          <w:color w:val="000000"/>
          <w:sz w:val="20"/>
          <w:szCs w:val="20"/>
        </w:rPr>
      </w:pPr>
    </w:p>
    <w:p w14:paraId="487B9927" w14:textId="77777777" w:rsidR="003260AC" w:rsidRDefault="00DD6A7E">
      <w:pPr>
        <w:pBdr>
          <w:top w:val="nil"/>
          <w:left w:val="nil"/>
          <w:bottom w:val="nil"/>
          <w:right w:val="nil"/>
          <w:between w:val="nil"/>
        </w:pBdr>
        <w:rPr>
          <w:b/>
          <w:color w:val="00000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b/>
          <w:color w:val="000000"/>
        </w:rPr>
        <w:t xml:space="preserve">  </w:t>
      </w:r>
    </w:p>
    <w:p w14:paraId="48AF4AC1" w14:textId="77777777" w:rsidR="003260AC" w:rsidRDefault="003260AC">
      <w:pPr>
        <w:pBdr>
          <w:top w:val="nil"/>
          <w:left w:val="nil"/>
          <w:bottom w:val="nil"/>
          <w:right w:val="nil"/>
          <w:between w:val="nil"/>
        </w:pBdr>
        <w:rPr>
          <w:rFonts w:ascii="Times New Roman" w:eastAsia="Times New Roman" w:hAnsi="Times New Roman" w:cs="Times New Roman"/>
          <w:color w:val="000000"/>
          <w:sz w:val="20"/>
          <w:szCs w:val="20"/>
        </w:rPr>
      </w:pPr>
    </w:p>
    <w:p w14:paraId="07D3B9F0" w14:textId="6758F8B7" w:rsidR="003260AC" w:rsidRDefault="00DD6A7E">
      <w:pPr>
        <w:rPr>
          <w:b/>
          <w:sz w:val="28"/>
          <w:szCs w:val="28"/>
        </w:rPr>
      </w:pPr>
      <w:r>
        <w:rPr>
          <w:b/>
          <w:sz w:val="28"/>
          <w:szCs w:val="28"/>
        </w:rPr>
        <w:t>Nominations Committee 202</w:t>
      </w:r>
      <w:r w:rsidR="00C25AC5">
        <w:rPr>
          <w:b/>
          <w:sz w:val="28"/>
          <w:szCs w:val="28"/>
        </w:rPr>
        <w:t>5/26</w:t>
      </w:r>
    </w:p>
    <w:p w14:paraId="6090EE46" w14:textId="77777777" w:rsidR="003260AC" w:rsidRDefault="003260AC">
      <w:pPr>
        <w:rPr>
          <w:b/>
          <w:sz w:val="28"/>
          <w:szCs w:val="28"/>
        </w:rPr>
      </w:pPr>
    </w:p>
    <w:p w14:paraId="3311D536" w14:textId="77777777" w:rsidR="003260AC" w:rsidRDefault="003260AC">
      <w:pPr>
        <w:rPr>
          <w:b/>
          <w:sz w:val="28"/>
          <w:szCs w:val="28"/>
        </w:rPr>
      </w:pPr>
    </w:p>
    <w:tbl>
      <w:tblPr>
        <w:tblStyle w:val="a"/>
        <w:tblW w:w="10343" w:type="dxa"/>
        <w:tblBorders>
          <w:top w:val="nil"/>
          <w:left w:val="nil"/>
          <w:bottom w:val="nil"/>
          <w:right w:val="nil"/>
          <w:insideH w:val="nil"/>
          <w:insideV w:val="nil"/>
        </w:tblBorders>
        <w:tblLayout w:type="fixed"/>
        <w:tblLook w:val="0400" w:firstRow="0" w:lastRow="0" w:firstColumn="0" w:lastColumn="0" w:noHBand="0" w:noVBand="1"/>
      </w:tblPr>
      <w:tblGrid>
        <w:gridCol w:w="706"/>
        <w:gridCol w:w="9637"/>
      </w:tblGrid>
      <w:tr w:rsidR="003260AC" w14:paraId="075C5B72" w14:textId="77777777">
        <w:tc>
          <w:tcPr>
            <w:tcW w:w="706" w:type="dxa"/>
          </w:tcPr>
          <w:p w14:paraId="4E2D5407" w14:textId="77777777" w:rsidR="003260AC" w:rsidRDefault="00DD6A7E">
            <w:pPr>
              <w:rPr>
                <w:b/>
              </w:rPr>
            </w:pPr>
            <w:r>
              <w:rPr>
                <w:b/>
              </w:rPr>
              <w:t xml:space="preserve">1. </w:t>
            </w:r>
          </w:p>
        </w:tc>
        <w:tc>
          <w:tcPr>
            <w:tcW w:w="9637" w:type="dxa"/>
          </w:tcPr>
          <w:p w14:paraId="3BFD8176" w14:textId="77777777" w:rsidR="003260AC" w:rsidRDefault="00DD6A7E">
            <w:pPr>
              <w:rPr>
                <w:b/>
              </w:rPr>
            </w:pPr>
            <w:r>
              <w:rPr>
                <w:b/>
              </w:rPr>
              <w:t>Summary of Purpose</w:t>
            </w:r>
          </w:p>
        </w:tc>
      </w:tr>
      <w:tr w:rsidR="003260AC" w14:paraId="36C8B45B" w14:textId="77777777">
        <w:tc>
          <w:tcPr>
            <w:tcW w:w="706" w:type="dxa"/>
          </w:tcPr>
          <w:p w14:paraId="7D2CD424" w14:textId="77777777" w:rsidR="003260AC" w:rsidRDefault="003260AC">
            <w:pPr>
              <w:rPr>
                <w:b/>
              </w:rPr>
            </w:pPr>
          </w:p>
        </w:tc>
        <w:tc>
          <w:tcPr>
            <w:tcW w:w="9637" w:type="dxa"/>
          </w:tcPr>
          <w:p w14:paraId="3BD35DF8" w14:textId="77777777" w:rsidR="003260AC" w:rsidRDefault="003260AC">
            <w:pPr>
              <w:rPr>
                <w:b/>
              </w:rPr>
            </w:pPr>
          </w:p>
        </w:tc>
      </w:tr>
      <w:tr w:rsidR="003260AC" w14:paraId="2403D5CA" w14:textId="77777777">
        <w:tc>
          <w:tcPr>
            <w:tcW w:w="706" w:type="dxa"/>
          </w:tcPr>
          <w:p w14:paraId="4CBBE8EA" w14:textId="77777777" w:rsidR="003260AC" w:rsidRDefault="00DD6A7E">
            <w:r>
              <w:t>1.1</w:t>
            </w:r>
          </w:p>
        </w:tc>
        <w:tc>
          <w:tcPr>
            <w:tcW w:w="9637" w:type="dxa"/>
          </w:tcPr>
          <w:p w14:paraId="5FE33B63" w14:textId="77777777" w:rsidR="003260AC" w:rsidRDefault="00DD6A7E">
            <w:r>
              <w:t xml:space="preserve">To conduct the search for </w:t>
            </w:r>
            <w:proofErr w:type="spellStart"/>
            <w:r>
              <w:t>and</w:t>
            </w:r>
            <w:proofErr w:type="spellEnd"/>
            <w:r>
              <w:t xml:space="preserve"> interview potential members for the Board of Governors (“Board”) making specific recommendations to the Board for appointment.</w:t>
            </w:r>
          </w:p>
          <w:p w14:paraId="2B6A31C3" w14:textId="77777777" w:rsidR="003260AC" w:rsidRDefault="003260AC">
            <w:pPr>
              <w:rPr>
                <w:b/>
              </w:rPr>
            </w:pPr>
          </w:p>
        </w:tc>
      </w:tr>
      <w:tr w:rsidR="003260AC" w14:paraId="484DE10B" w14:textId="77777777">
        <w:tc>
          <w:tcPr>
            <w:tcW w:w="706" w:type="dxa"/>
          </w:tcPr>
          <w:p w14:paraId="422D78F4" w14:textId="77777777" w:rsidR="003260AC" w:rsidRDefault="00DD6A7E">
            <w:r>
              <w:t>1.2</w:t>
            </w:r>
          </w:p>
        </w:tc>
        <w:tc>
          <w:tcPr>
            <w:tcW w:w="9637" w:type="dxa"/>
          </w:tcPr>
          <w:p w14:paraId="658608EC" w14:textId="77777777" w:rsidR="003260AC" w:rsidRDefault="00DD6A7E">
            <w:r>
              <w:t>To conduct the search for and make recommendations to the Board for the office of Chancellor.</w:t>
            </w:r>
          </w:p>
          <w:p w14:paraId="62112F3B" w14:textId="77777777" w:rsidR="003260AC" w:rsidRDefault="003260AC"/>
        </w:tc>
      </w:tr>
      <w:tr w:rsidR="003260AC" w14:paraId="1ECFA36A" w14:textId="77777777">
        <w:tc>
          <w:tcPr>
            <w:tcW w:w="706" w:type="dxa"/>
          </w:tcPr>
          <w:p w14:paraId="6EBF5170" w14:textId="77777777" w:rsidR="003260AC" w:rsidRDefault="00DD6A7E">
            <w:r>
              <w:t>1.3</w:t>
            </w:r>
          </w:p>
        </w:tc>
        <w:tc>
          <w:tcPr>
            <w:tcW w:w="9637" w:type="dxa"/>
          </w:tcPr>
          <w:p w14:paraId="3CA42BDA" w14:textId="77777777" w:rsidR="003260AC" w:rsidRDefault="00DD6A7E">
            <w:r>
              <w:t>To make recommendations to the Board on the membership of its committees.</w:t>
            </w:r>
          </w:p>
          <w:p w14:paraId="01330EE9" w14:textId="77777777" w:rsidR="003260AC" w:rsidRDefault="003260AC"/>
        </w:tc>
      </w:tr>
      <w:tr w:rsidR="003260AC" w14:paraId="40C05723" w14:textId="77777777">
        <w:tc>
          <w:tcPr>
            <w:tcW w:w="706" w:type="dxa"/>
          </w:tcPr>
          <w:p w14:paraId="1EBCD7C7" w14:textId="77777777" w:rsidR="003260AC" w:rsidRDefault="00DD6A7E">
            <w:r>
              <w:t>1.4</w:t>
            </w:r>
          </w:p>
        </w:tc>
        <w:tc>
          <w:tcPr>
            <w:tcW w:w="9637" w:type="dxa"/>
          </w:tcPr>
          <w:p w14:paraId="4DAEAA19" w14:textId="77777777" w:rsidR="003260AC" w:rsidRDefault="00DD6A7E">
            <w:r>
              <w:t>To ensure that the Board has available to it appropriate and willing candidates for the position of Chair of the Board.</w:t>
            </w:r>
            <w:r>
              <w:br/>
            </w:r>
          </w:p>
        </w:tc>
      </w:tr>
      <w:tr w:rsidR="003260AC" w14:paraId="05C1AA67" w14:textId="77777777">
        <w:tc>
          <w:tcPr>
            <w:tcW w:w="706" w:type="dxa"/>
          </w:tcPr>
          <w:p w14:paraId="2DDBB7FA" w14:textId="77777777" w:rsidR="003260AC" w:rsidRDefault="00DD6A7E">
            <w:r>
              <w:t>1.5</w:t>
            </w:r>
          </w:p>
          <w:p w14:paraId="612DB8A0" w14:textId="77777777" w:rsidR="003260AC" w:rsidRDefault="003260AC"/>
        </w:tc>
        <w:tc>
          <w:tcPr>
            <w:tcW w:w="9637" w:type="dxa"/>
          </w:tcPr>
          <w:p w14:paraId="3210C4EB" w14:textId="77777777" w:rsidR="003260AC" w:rsidRDefault="00DD6A7E">
            <w:r>
              <w:t>To make recommendations to the Board for the appointment of Chairs and Deputy Chairs to each of the Board’s committees.</w:t>
            </w:r>
          </w:p>
          <w:p w14:paraId="485F2956" w14:textId="77777777" w:rsidR="003260AC" w:rsidRDefault="003260AC"/>
        </w:tc>
      </w:tr>
      <w:tr w:rsidR="003260AC" w14:paraId="3AFB9485" w14:textId="77777777">
        <w:tc>
          <w:tcPr>
            <w:tcW w:w="706" w:type="dxa"/>
          </w:tcPr>
          <w:p w14:paraId="71B2E2F1" w14:textId="77777777" w:rsidR="003260AC" w:rsidRDefault="003260AC"/>
        </w:tc>
        <w:tc>
          <w:tcPr>
            <w:tcW w:w="9637" w:type="dxa"/>
          </w:tcPr>
          <w:p w14:paraId="76B93A39" w14:textId="77777777" w:rsidR="003260AC" w:rsidRDefault="003260AC"/>
        </w:tc>
      </w:tr>
      <w:tr w:rsidR="003260AC" w14:paraId="0A6F3ECD" w14:textId="77777777">
        <w:tc>
          <w:tcPr>
            <w:tcW w:w="706" w:type="dxa"/>
          </w:tcPr>
          <w:p w14:paraId="607D76E0" w14:textId="77777777" w:rsidR="003260AC" w:rsidRDefault="00DD6A7E">
            <w:pPr>
              <w:rPr>
                <w:b/>
              </w:rPr>
            </w:pPr>
            <w:r>
              <w:rPr>
                <w:b/>
              </w:rPr>
              <w:t>2.</w:t>
            </w:r>
          </w:p>
        </w:tc>
        <w:tc>
          <w:tcPr>
            <w:tcW w:w="9637" w:type="dxa"/>
          </w:tcPr>
          <w:p w14:paraId="484650EE" w14:textId="77777777" w:rsidR="003260AC" w:rsidRDefault="00DD6A7E">
            <w:pPr>
              <w:rPr>
                <w:b/>
              </w:rPr>
            </w:pPr>
            <w:r>
              <w:rPr>
                <w:b/>
              </w:rPr>
              <w:t>Frequency of Meetings</w:t>
            </w:r>
          </w:p>
          <w:p w14:paraId="4C9BA755" w14:textId="77777777" w:rsidR="003260AC" w:rsidRDefault="003260AC"/>
        </w:tc>
      </w:tr>
      <w:tr w:rsidR="003260AC" w14:paraId="4EE82E65" w14:textId="77777777">
        <w:tc>
          <w:tcPr>
            <w:tcW w:w="706" w:type="dxa"/>
          </w:tcPr>
          <w:p w14:paraId="68C8E68F" w14:textId="77777777" w:rsidR="003260AC" w:rsidRDefault="00DD6A7E">
            <w:r>
              <w:t>2.1</w:t>
            </w:r>
          </w:p>
          <w:p w14:paraId="7E41DC9A" w14:textId="77777777" w:rsidR="003260AC" w:rsidRDefault="003260AC"/>
          <w:p w14:paraId="3FB90C49" w14:textId="77777777" w:rsidR="003260AC" w:rsidRDefault="00DD6A7E">
            <w:r>
              <w:t>2.2</w:t>
            </w:r>
          </w:p>
        </w:tc>
        <w:tc>
          <w:tcPr>
            <w:tcW w:w="9637" w:type="dxa"/>
          </w:tcPr>
          <w:p w14:paraId="39192E9A" w14:textId="77777777" w:rsidR="003260AC" w:rsidRDefault="00DD6A7E">
            <w:r>
              <w:t>The Committee will meet at least once per year.</w:t>
            </w:r>
          </w:p>
          <w:p w14:paraId="161D9ADF" w14:textId="77777777" w:rsidR="003260AC" w:rsidRDefault="003260AC"/>
          <w:p w14:paraId="08CB1716" w14:textId="77777777" w:rsidR="003260AC" w:rsidRDefault="00DD6A7E">
            <w:r>
              <w:t>The Committee shall use email circulation or telephone conferencing as appropriate to progress its business effectively.</w:t>
            </w:r>
          </w:p>
          <w:p w14:paraId="724151B3" w14:textId="77777777" w:rsidR="003260AC" w:rsidRDefault="003260AC">
            <w:pPr>
              <w:rPr>
                <w:b/>
              </w:rPr>
            </w:pPr>
          </w:p>
        </w:tc>
      </w:tr>
      <w:tr w:rsidR="003260AC" w14:paraId="64D96E62" w14:textId="77777777">
        <w:tc>
          <w:tcPr>
            <w:tcW w:w="706" w:type="dxa"/>
          </w:tcPr>
          <w:p w14:paraId="3C48C7F6" w14:textId="77777777" w:rsidR="003260AC" w:rsidRDefault="003260AC">
            <w:pPr>
              <w:rPr>
                <w:b/>
              </w:rPr>
            </w:pPr>
          </w:p>
        </w:tc>
        <w:tc>
          <w:tcPr>
            <w:tcW w:w="9637" w:type="dxa"/>
          </w:tcPr>
          <w:p w14:paraId="4F2BF817" w14:textId="77777777" w:rsidR="003260AC" w:rsidRDefault="003260AC">
            <w:pPr>
              <w:rPr>
                <w:b/>
              </w:rPr>
            </w:pPr>
          </w:p>
        </w:tc>
      </w:tr>
      <w:tr w:rsidR="003260AC" w14:paraId="41D1A3B4" w14:textId="77777777">
        <w:tc>
          <w:tcPr>
            <w:tcW w:w="706" w:type="dxa"/>
          </w:tcPr>
          <w:p w14:paraId="046C9240" w14:textId="77777777" w:rsidR="003260AC" w:rsidRDefault="00DD6A7E">
            <w:pPr>
              <w:rPr>
                <w:b/>
              </w:rPr>
            </w:pPr>
            <w:r>
              <w:rPr>
                <w:b/>
              </w:rPr>
              <w:t>3.</w:t>
            </w:r>
          </w:p>
        </w:tc>
        <w:tc>
          <w:tcPr>
            <w:tcW w:w="9637" w:type="dxa"/>
          </w:tcPr>
          <w:p w14:paraId="54336343" w14:textId="77777777" w:rsidR="003260AC" w:rsidRDefault="00DD6A7E">
            <w:pPr>
              <w:rPr>
                <w:b/>
              </w:rPr>
            </w:pPr>
            <w:r>
              <w:rPr>
                <w:b/>
              </w:rPr>
              <w:t>Duties and Responsibilities</w:t>
            </w:r>
          </w:p>
          <w:p w14:paraId="5273DC27" w14:textId="77777777" w:rsidR="003260AC" w:rsidRDefault="003260AC">
            <w:pPr>
              <w:rPr>
                <w:b/>
              </w:rPr>
            </w:pPr>
          </w:p>
        </w:tc>
      </w:tr>
      <w:tr w:rsidR="003260AC" w14:paraId="222C91BF" w14:textId="77777777">
        <w:tc>
          <w:tcPr>
            <w:tcW w:w="706" w:type="dxa"/>
          </w:tcPr>
          <w:p w14:paraId="2281FA92" w14:textId="77777777" w:rsidR="003260AC" w:rsidRDefault="00DD6A7E">
            <w:r>
              <w:t>3.1</w:t>
            </w:r>
          </w:p>
          <w:p w14:paraId="6F768622" w14:textId="77777777" w:rsidR="003260AC" w:rsidRDefault="003260AC"/>
        </w:tc>
        <w:tc>
          <w:tcPr>
            <w:tcW w:w="9637" w:type="dxa"/>
          </w:tcPr>
          <w:p w14:paraId="3104B10D" w14:textId="77777777" w:rsidR="003260AC" w:rsidRDefault="00DD6A7E">
            <w:r>
              <w:t>The Board shall keep under review the membership of the Board of Governors and ensure that in a timely manner a wide-ranging search and interview process is undertaken and that the committee makes recommendations to the Board for new appointments in advance of vacancies falling due.</w:t>
            </w:r>
          </w:p>
          <w:p w14:paraId="1C090C60" w14:textId="77777777" w:rsidR="003260AC" w:rsidRDefault="003260AC">
            <w:pPr>
              <w:rPr>
                <w:b/>
              </w:rPr>
            </w:pPr>
          </w:p>
        </w:tc>
      </w:tr>
      <w:tr w:rsidR="003260AC" w14:paraId="37076C20" w14:textId="77777777">
        <w:tc>
          <w:tcPr>
            <w:tcW w:w="706" w:type="dxa"/>
          </w:tcPr>
          <w:p w14:paraId="22E0222F" w14:textId="77777777" w:rsidR="003260AC" w:rsidRDefault="00DD6A7E">
            <w:r>
              <w:t>3.2</w:t>
            </w:r>
          </w:p>
          <w:p w14:paraId="0B8C17BB" w14:textId="77777777" w:rsidR="003260AC" w:rsidRDefault="003260AC"/>
        </w:tc>
        <w:tc>
          <w:tcPr>
            <w:tcW w:w="9637" w:type="dxa"/>
          </w:tcPr>
          <w:p w14:paraId="18770C52" w14:textId="77777777" w:rsidR="003260AC" w:rsidRPr="00DD6A7E" w:rsidRDefault="00DD6A7E">
            <w:pPr>
              <w:rPr>
                <w:color w:val="FF0000"/>
              </w:rPr>
            </w:pPr>
            <w:r w:rsidRPr="00DD6A7E">
              <w:t>In fulfilling its duties in 3.1 the Committee shall normally recommend the appointment of Governors to commence on 1 August and complete their term of office on 31 July, in line with the University’s financial and reporting year</w:t>
            </w:r>
            <w:r>
              <w:t>;</w:t>
            </w:r>
            <w:r w:rsidRPr="00DD6A7E">
              <w:t xml:space="preserve"> and where an appointment commences partway through a year the Committee should normally recommend to the Board that the term of office should be extended beyond the normal</w:t>
            </w:r>
            <w:r w:rsidRPr="00A52851">
              <w:t xml:space="preserve"> initial 2-year term of office so as to terminate on 31 </w:t>
            </w:r>
            <w:sdt>
              <w:sdtPr>
                <w:tag w:val="goog_rdk_0"/>
                <w:id w:val="131908843"/>
              </w:sdtPr>
              <w:sdtEndPr/>
              <w:sdtContent/>
            </w:sdt>
            <w:r w:rsidRPr="00A52851">
              <w:t>July.</w:t>
            </w:r>
          </w:p>
          <w:p w14:paraId="2A205FC9" w14:textId="77777777" w:rsidR="003260AC" w:rsidRPr="00DD6A7E" w:rsidRDefault="003260AC"/>
        </w:tc>
      </w:tr>
      <w:tr w:rsidR="003260AC" w14:paraId="29D545D2" w14:textId="77777777">
        <w:tc>
          <w:tcPr>
            <w:tcW w:w="706" w:type="dxa"/>
          </w:tcPr>
          <w:p w14:paraId="32CBD3C1" w14:textId="77777777" w:rsidR="003260AC" w:rsidRDefault="00DD6A7E">
            <w:r>
              <w:t>3.3</w:t>
            </w:r>
          </w:p>
        </w:tc>
        <w:tc>
          <w:tcPr>
            <w:tcW w:w="9637" w:type="dxa"/>
          </w:tcPr>
          <w:p w14:paraId="50875B91" w14:textId="77777777" w:rsidR="003260AC" w:rsidRDefault="00DD6A7E">
            <w:r>
              <w:t>In fulfilling the duties in 3.1 the Committee shall have regard to the current skills mix of the Board, the skills of any retiring members and the current and future skills requirements of the Board and its committees.</w:t>
            </w:r>
          </w:p>
          <w:p w14:paraId="73D0BC50" w14:textId="77777777" w:rsidR="003260AC" w:rsidRDefault="003260AC"/>
        </w:tc>
      </w:tr>
      <w:tr w:rsidR="003260AC" w14:paraId="14D51872" w14:textId="77777777">
        <w:tc>
          <w:tcPr>
            <w:tcW w:w="706" w:type="dxa"/>
          </w:tcPr>
          <w:p w14:paraId="75E44D65" w14:textId="77777777" w:rsidR="003260AC" w:rsidRDefault="00DD6A7E">
            <w:r>
              <w:t>3.4</w:t>
            </w:r>
          </w:p>
        </w:tc>
        <w:tc>
          <w:tcPr>
            <w:tcW w:w="9637" w:type="dxa"/>
          </w:tcPr>
          <w:p w14:paraId="527A202A" w14:textId="77777777" w:rsidR="003260AC" w:rsidRDefault="00DD6A7E">
            <w:r>
              <w:t>The Committee shall consider the membership of the Board’s committees and make recommendations to the Board as to membership including the co-option of members directly to any committee.</w:t>
            </w:r>
          </w:p>
          <w:p w14:paraId="3230CA7E" w14:textId="77777777" w:rsidR="003260AC" w:rsidRDefault="003260AC"/>
        </w:tc>
      </w:tr>
      <w:tr w:rsidR="003260AC" w14:paraId="52019A7D" w14:textId="77777777">
        <w:tc>
          <w:tcPr>
            <w:tcW w:w="706" w:type="dxa"/>
          </w:tcPr>
          <w:p w14:paraId="4E178AA1" w14:textId="77777777" w:rsidR="003260AC" w:rsidRDefault="00DD6A7E">
            <w:r>
              <w:t>3.5</w:t>
            </w:r>
          </w:p>
        </w:tc>
        <w:tc>
          <w:tcPr>
            <w:tcW w:w="9637" w:type="dxa"/>
          </w:tcPr>
          <w:p w14:paraId="782E2BAF" w14:textId="77777777" w:rsidR="003260AC" w:rsidRDefault="00DD6A7E">
            <w:r>
              <w:t xml:space="preserve">The Committee shall make recommendations to the Board on the appointment of Governors as Chairs and Deputy Chairs for all University committees, having first established their willingness </w:t>
            </w:r>
            <w:r>
              <w:lastRenderedPageBreak/>
              <w:t>to assume the responsibilities.</w:t>
            </w:r>
          </w:p>
          <w:p w14:paraId="1E4ED9AE" w14:textId="77777777" w:rsidR="003260AC" w:rsidRDefault="003260AC"/>
        </w:tc>
      </w:tr>
      <w:tr w:rsidR="003260AC" w14:paraId="1D3AC37C" w14:textId="77777777">
        <w:tc>
          <w:tcPr>
            <w:tcW w:w="706" w:type="dxa"/>
          </w:tcPr>
          <w:p w14:paraId="229082AE" w14:textId="77777777" w:rsidR="003260AC" w:rsidRDefault="00DD6A7E">
            <w:r>
              <w:lastRenderedPageBreak/>
              <w:t>3.6</w:t>
            </w:r>
          </w:p>
        </w:tc>
        <w:tc>
          <w:tcPr>
            <w:tcW w:w="9637" w:type="dxa"/>
          </w:tcPr>
          <w:p w14:paraId="1CF21BD0" w14:textId="77777777" w:rsidR="003260AC" w:rsidRDefault="00DD6A7E">
            <w:r>
              <w:t>The Committee shall recommend that a process of election of a Chair is commenced during the final year of the current Chair’s term of office as the Committee considers appropriate.  The Committee should recommend to the Board that it should commence a search for a new member who would be a suitable Chair at least 9 months before the completion of the term of office of the current Chair.</w:t>
            </w:r>
          </w:p>
          <w:p w14:paraId="0F21C2CC" w14:textId="77777777" w:rsidR="003260AC" w:rsidRDefault="003260AC"/>
        </w:tc>
      </w:tr>
      <w:tr w:rsidR="003260AC" w14:paraId="46CEB14B" w14:textId="77777777">
        <w:tc>
          <w:tcPr>
            <w:tcW w:w="706" w:type="dxa"/>
          </w:tcPr>
          <w:p w14:paraId="726A2870" w14:textId="77777777" w:rsidR="003260AC" w:rsidRDefault="00DD6A7E">
            <w:r>
              <w:t>3.7</w:t>
            </w:r>
          </w:p>
        </w:tc>
        <w:tc>
          <w:tcPr>
            <w:tcW w:w="9637" w:type="dxa"/>
          </w:tcPr>
          <w:p w14:paraId="6D9E39F6" w14:textId="77777777" w:rsidR="003260AC" w:rsidRDefault="00DD6A7E">
            <w:r>
              <w:t>If instructed by the Board the Committee should conduct a search and interview process to identify a new member to be appointed as Chair designate, to commence a term of office as Chair on the completion of the term of the current Chair.</w:t>
            </w:r>
          </w:p>
          <w:p w14:paraId="6A227425" w14:textId="77777777" w:rsidR="003260AC" w:rsidRDefault="003260AC"/>
        </w:tc>
      </w:tr>
      <w:tr w:rsidR="003260AC" w14:paraId="68AFB086" w14:textId="77777777">
        <w:tc>
          <w:tcPr>
            <w:tcW w:w="706" w:type="dxa"/>
          </w:tcPr>
          <w:p w14:paraId="02745BC6" w14:textId="77777777" w:rsidR="003260AC" w:rsidRDefault="00DD6A7E">
            <w:r>
              <w:t>3.8</w:t>
            </w:r>
          </w:p>
        </w:tc>
        <w:tc>
          <w:tcPr>
            <w:tcW w:w="9637" w:type="dxa"/>
          </w:tcPr>
          <w:p w14:paraId="44F16005" w14:textId="77777777" w:rsidR="003260AC" w:rsidRDefault="00DD6A7E">
            <w:r>
              <w:t>In advance of the Chancellor reaching the end of their term of office take soundings of the University community and conduct a search for the appointment of a Chancellor to be recommended to the Board of Governors.</w:t>
            </w:r>
          </w:p>
          <w:p w14:paraId="7AFD7648" w14:textId="77777777" w:rsidR="003260AC" w:rsidRDefault="003260AC"/>
        </w:tc>
      </w:tr>
      <w:tr w:rsidR="003260AC" w14:paraId="18758B80" w14:textId="77777777">
        <w:tc>
          <w:tcPr>
            <w:tcW w:w="706" w:type="dxa"/>
          </w:tcPr>
          <w:p w14:paraId="3713F500" w14:textId="77777777" w:rsidR="003260AC" w:rsidRDefault="00DD6A7E">
            <w:r>
              <w:t>3.9</w:t>
            </w:r>
          </w:p>
        </w:tc>
        <w:tc>
          <w:tcPr>
            <w:tcW w:w="9637" w:type="dxa"/>
          </w:tcPr>
          <w:p w14:paraId="3037639D" w14:textId="77777777" w:rsidR="003260AC" w:rsidRDefault="00DD6A7E">
            <w:r>
              <w:t xml:space="preserve">When the business under consideration would present a conflict of interest </w:t>
            </w:r>
            <w:r>
              <w:rPr>
                <w:highlight w:val="white"/>
              </w:rPr>
              <w:t>for the Chair or appointed lay members of the Committee, an alternative Chair from the pool of Independent Governors or lay members will be appointed, as required. No member of the Committee shall take part in the discussions or decision-making related to a post for which they have been nominated or concerning the nomination of his/her successor.</w:t>
            </w:r>
          </w:p>
          <w:p w14:paraId="13AABF32" w14:textId="77777777" w:rsidR="00DD58FC" w:rsidRDefault="00DD58FC"/>
        </w:tc>
      </w:tr>
      <w:tr w:rsidR="00DD58FC" w14:paraId="78FBFDF7" w14:textId="77777777">
        <w:tc>
          <w:tcPr>
            <w:tcW w:w="706" w:type="dxa"/>
          </w:tcPr>
          <w:p w14:paraId="0B01A362" w14:textId="4CCFE1C2" w:rsidR="00DD58FC" w:rsidRDefault="00DD58FC">
            <w:r>
              <w:t>3.10</w:t>
            </w:r>
          </w:p>
        </w:tc>
        <w:tc>
          <w:tcPr>
            <w:tcW w:w="9637" w:type="dxa"/>
          </w:tcPr>
          <w:p w14:paraId="46CDA922" w14:textId="77777777" w:rsidR="00DD58FC" w:rsidRPr="00DD58FC" w:rsidRDefault="00DD58FC" w:rsidP="00DD58FC">
            <w:pPr>
              <w:rPr>
                <w:iCs/>
                <w:lang w:val="en-GB"/>
              </w:rPr>
            </w:pPr>
            <w:r w:rsidRPr="00DD58FC">
              <w:rPr>
                <w:iCs/>
                <w:lang w:val="en-GB"/>
              </w:rPr>
              <w:t>To be responsible (including across all relevant sub-committees) for ensuring compliance with the University's free speech duties in all relevant decision making.</w:t>
            </w:r>
          </w:p>
          <w:p w14:paraId="58E58A6B" w14:textId="47742CC7" w:rsidR="00DD58FC" w:rsidRDefault="00DD58FC"/>
        </w:tc>
      </w:tr>
      <w:tr w:rsidR="003260AC" w14:paraId="4D670A24" w14:textId="77777777">
        <w:tc>
          <w:tcPr>
            <w:tcW w:w="706" w:type="dxa"/>
          </w:tcPr>
          <w:p w14:paraId="70757906" w14:textId="77777777" w:rsidR="003260AC" w:rsidRDefault="003260AC"/>
        </w:tc>
        <w:tc>
          <w:tcPr>
            <w:tcW w:w="9637" w:type="dxa"/>
          </w:tcPr>
          <w:p w14:paraId="65B0DEFA" w14:textId="77777777" w:rsidR="003260AC" w:rsidRDefault="00DD6A7E">
            <w:r>
              <w:t xml:space="preserve"> </w:t>
            </w:r>
          </w:p>
        </w:tc>
      </w:tr>
      <w:tr w:rsidR="003260AC" w14:paraId="5A30A70B" w14:textId="77777777">
        <w:tc>
          <w:tcPr>
            <w:tcW w:w="706" w:type="dxa"/>
          </w:tcPr>
          <w:p w14:paraId="04FCE172" w14:textId="77777777" w:rsidR="003260AC" w:rsidRDefault="00DD6A7E">
            <w:r>
              <w:t>4.</w:t>
            </w:r>
          </w:p>
          <w:p w14:paraId="74618823" w14:textId="77777777" w:rsidR="003260AC" w:rsidRDefault="003260AC"/>
          <w:p w14:paraId="5CB0899E" w14:textId="77777777" w:rsidR="003260AC" w:rsidRDefault="00DD6A7E">
            <w:r>
              <w:t>4.1</w:t>
            </w:r>
          </w:p>
          <w:p w14:paraId="7B9C699B" w14:textId="77777777" w:rsidR="003260AC" w:rsidRDefault="003260AC"/>
          <w:p w14:paraId="3A8C5F23" w14:textId="77777777" w:rsidR="003260AC" w:rsidRDefault="003260AC"/>
          <w:p w14:paraId="362A970F" w14:textId="77777777" w:rsidR="003260AC" w:rsidRDefault="003260AC"/>
          <w:p w14:paraId="1AF1F005" w14:textId="77777777" w:rsidR="003260AC" w:rsidRDefault="00DD6A7E">
            <w:r>
              <w:t>5.</w:t>
            </w:r>
          </w:p>
          <w:p w14:paraId="4E91B3ED" w14:textId="77777777" w:rsidR="003260AC" w:rsidRDefault="003260AC"/>
          <w:p w14:paraId="46B06935" w14:textId="77777777" w:rsidR="003260AC" w:rsidRDefault="00DD6A7E">
            <w:r>
              <w:t>5.1</w:t>
            </w:r>
          </w:p>
          <w:p w14:paraId="78C0F57C" w14:textId="77777777" w:rsidR="003260AC" w:rsidRDefault="003260AC"/>
          <w:p w14:paraId="1D969115" w14:textId="77777777" w:rsidR="003260AC" w:rsidRDefault="003260AC"/>
          <w:p w14:paraId="34488FFF" w14:textId="77777777" w:rsidR="003260AC" w:rsidRDefault="003260AC"/>
          <w:p w14:paraId="5EC8FA68" w14:textId="77777777" w:rsidR="003260AC" w:rsidRDefault="003260AC"/>
          <w:p w14:paraId="5F3B60A4" w14:textId="77777777" w:rsidR="003260AC" w:rsidRDefault="003260AC"/>
          <w:p w14:paraId="03F74CE6" w14:textId="77777777" w:rsidR="003260AC" w:rsidRDefault="003260AC"/>
          <w:p w14:paraId="414DB473" w14:textId="77777777" w:rsidR="003260AC" w:rsidRDefault="003260AC"/>
          <w:p w14:paraId="5D106FA6" w14:textId="77777777" w:rsidR="003260AC" w:rsidRDefault="003260AC"/>
          <w:p w14:paraId="5A982545" w14:textId="77777777" w:rsidR="003260AC" w:rsidRDefault="003260AC"/>
          <w:p w14:paraId="19DAAC79" w14:textId="77777777" w:rsidR="003260AC" w:rsidRDefault="003260AC"/>
          <w:p w14:paraId="751760B7" w14:textId="77777777" w:rsidR="003260AC" w:rsidRDefault="003260AC"/>
          <w:p w14:paraId="1CE6469E" w14:textId="77777777" w:rsidR="003260AC" w:rsidRDefault="003260AC"/>
          <w:p w14:paraId="492FD1DF" w14:textId="77777777" w:rsidR="003260AC" w:rsidRDefault="003260AC"/>
          <w:p w14:paraId="4A9333E0" w14:textId="77777777" w:rsidR="003260AC" w:rsidRDefault="003260AC"/>
          <w:p w14:paraId="0C39E661" w14:textId="77777777" w:rsidR="003260AC" w:rsidRDefault="003260AC"/>
          <w:p w14:paraId="2447CE16" w14:textId="77777777" w:rsidR="003260AC" w:rsidRDefault="003260AC"/>
          <w:p w14:paraId="71B9FA54" w14:textId="77777777" w:rsidR="003260AC" w:rsidRDefault="003260AC"/>
          <w:p w14:paraId="06C56EA4" w14:textId="77777777" w:rsidR="003260AC" w:rsidRDefault="003260AC"/>
          <w:p w14:paraId="5F324272" w14:textId="77777777" w:rsidR="003260AC" w:rsidRDefault="003260AC"/>
          <w:p w14:paraId="64E55BB2" w14:textId="77777777" w:rsidR="003260AC" w:rsidRDefault="003260AC"/>
          <w:p w14:paraId="4DFBAB3B" w14:textId="77777777" w:rsidR="003260AC" w:rsidRDefault="003260AC"/>
          <w:p w14:paraId="4AE4E208" w14:textId="77777777" w:rsidR="003260AC" w:rsidRDefault="00DD6A7E">
            <w:r>
              <w:t>6</w:t>
            </w:r>
          </w:p>
        </w:tc>
        <w:tc>
          <w:tcPr>
            <w:tcW w:w="9637" w:type="dxa"/>
          </w:tcPr>
          <w:p w14:paraId="49C02073" w14:textId="77777777" w:rsidR="003260AC" w:rsidRDefault="00DD6A7E">
            <w:pPr>
              <w:rPr>
                <w:b/>
              </w:rPr>
            </w:pPr>
            <w:r>
              <w:rPr>
                <w:b/>
              </w:rPr>
              <w:lastRenderedPageBreak/>
              <w:t>Authority</w:t>
            </w:r>
          </w:p>
          <w:p w14:paraId="6AA9C9EB" w14:textId="77777777" w:rsidR="003260AC" w:rsidRDefault="003260AC"/>
          <w:p w14:paraId="0EB43D07" w14:textId="77777777" w:rsidR="003260AC" w:rsidRDefault="00DD6A7E">
            <w:r>
              <w:t xml:space="preserve">The Committee is </w:t>
            </w:r>
            <w:proofErr w:type="spellStart"/>
            <w:r>
              <w:t>authorised</w:t>
            </w:r>
            <w:proofErr w:type="spellEnd"/>
            <w:r>
              <w:t xml:space="preserve"> by the Board of Governors to undertake any activity within its terms of reference.</w:t>
            </w:r>
          </w:p>
          <w:p w14:paraId="3395E44D" w14:textId="77777777" w:rsidR="003260AC" w:rsidRDefault="003260AC"/>
          <w:p w14:paraId="18641EA3" w14:textId="77777777" w:rsidR="003260AC" w:rsidRDefault="003260AC"/>
          <w:p w14:paraId="53F823B0" w14:textId="77777777" w:rsidR="003260AC" w:rsidRDefault="00DD6A7E">
            <w:pPr>
              <w:rPr>
                <w:b/>
              </w:rPr>
            </w:pPr>
            <w:r>
              <w:rPr>
                <w:b/>
              </w:rPr>
              <w:t>Quoracy</w:t>
            </w:r>
          </w:p>
          <w:p w14:paraId="717DF3EC" w14:textId="77777777" w:rsidR="003260AC" w:rsidRDefault="003260AC"/>
          <w:p w14:paraId="08038E89" w14:textId="77777777" w:rsidR="003260AC" w:rsidRDefault="00DD6A7E">
            <w:r>
              <w:t xml:space="preserve">The quorum of the meeting shall be 50% of the Committee’s membership.  If a meeting is not quorate, any decisions must be approved at the next quorate meeting before they may be implemented </w:t>
            </w:r>
          </w:p>
          <w:p w14:paraId="0B7FE388" w14:textId="77777777" w:rsidR="003260AC" w:rsidRDefault="003260AC"/>
          <w:p w14:paraId="44489001" w14:textId="77777777" w:rsidR="003260AC" w:rsidRDefault="003260AC"/>
          <w:p w14:paraId="2EC947A9" w14:textId="77777777" w:rsidR="003260AC" w:rsidRDefault="003260AC"/>
          <w:p w14:paraId="7ACEFB4D" w14:textId="77777777" w:rsidR="003260AC" w:rsidRDefault="003260AC"/>
          <w:p w14:paraId="718BC22A" w14:textId="77777777" w:rsidR="003260AC" w:rsidRDefault="003260AC"/>
          <w:p w14:paraId="19A4B594" w14:textId="77777777" w:rsidR="003260AC" w:rsidRDefault="003260AC"/>
          <w:p w14:paraId="5ED6AD08" w14:textId="77777777" w:rsidR="003260AC" w:rsidRDefault="003260AC"/>
          <w:p w14:paraId="6CB8E392" w14:textId="77777777" w:rsidR="003260AC" w:rsidRDefault="003260AC"/>
          <w:p w14:paraId="0BFF45D0" w14:textId="77777777" w:rsidR="003260AC" w:rsidRDefault="003260AC"/>
          <w:p w14:paraId="5B25F415" w14:textId="77777777" w:rsidR="003260AC" w:rsidRDefault="003260AC"/>
          <w:p w14:paraId="5A11BA52" w14:textId="77777777" w:rsidR="003260AC" w:rsidRDefault="003260AC"/>
          <w:p w14:paraId="7525BCD1" w14:textId="77777777" w:rsidR="003260AC" w:rsidRDefault="003260AC"/>
          <w:p w14:paraId="43C9A6BF" w14:textId="77777777" w:rsidR="003260AC" w:rsidRDefault="003260AC"/>
          <w:p w14:paraId="2A0EBAF0" w14:textId="77777777" w:rsidR="003260AC" w:rsidRDefault="003260AC"/>
          <w:p w14:paraId="122662F4" w14:textId="77777777" w:rsidR="003260AC" w:rsidRDefault="003260AC"/>
          <w:p w14:paraId="65AEF558" w14:textId="77777777" w:rsidR="003260AC" w:rsidRDefault="003260AC"/>
          <w:p w14:paraId="04070E7C" w14:textId="77777777" w:rsidR="003260AC" w:rsidRDefault="003260AC"/>
          <w:p w14:paraId="1DC35289" w14:textId="77777777" w:rsidR="003260AC" w:rsidRDefault="003260AC"/>
          <w:p w14:paraId="6942210B" w14:textId="77777777" w:rsidR="003260AC" w:rsidRDefault="003260AC"/>
          <w:p w14:paraId="475A0A9E" w14:textId="77777777" w:rsidR="003260AC" w:rsidRDefault="00DD6A7E">
            <w:pPr>
              <w:rPr>
                <w:b/>
              </w:rPr>
            </w:pPr>
            <w:r>
              <w:rPr>
                <w:b/>
              </w:rPr>
              <w:t>Membership</w:t>
            </w:r>
          </w:p>
          <w:p w14:paraId="645634B3" w14:textId="77777777" w:rsidR="003260AC" w:rsidRDefault="003260AC"/>
        </w:tc>
      </w:tr>
      <w:tr w:rsidR="003260AC" w14:paraId="67F345FD" w14:textId="77777777">
        <w:tc>
          <w:tcPr>
            <w:tcW w:w="706" w:type="dxa"/>
          </w:tcPr>
          <w:p w14:paraId="1785400B" w14:textId="77777777" w:rsidR="003260AC" w:rsidRDefault="003260AC">
            <w:pPr>
              <w:rPr>
                <w:b/>
              </w:rPr>
            </w:pPr>
          </w:p>
        </w:tc>
        <w:tc>
          <w:tcPr>
            <w:tcW w:w="9637" w:type="dxa"/>
          </w:tcPr>
          <w:p w14:paraId="6DF6A0D0" w14:textId="77777777" w:rsidR="003260AC" w:rsidRDefault="003260AC"/>
          <w:tbl>
            <w:tblPr>
              <w:tblStyle w:val="a0"/>
              <w:tblW w:w="8106" w:type="dxa"/>
              <w:tblBorders>
                <w:top w:val="nil"/>
                <w:left w:val="nil"/>
                <w:bottom w:val="nil"/>
                <w:right w:val="nil"/>
                <w:insideH w:val="nil"/>
                <w:insideV w:val="nil"/>
              </w:tblBorders>
              <w:tblLayout w:type="fixed"/>
              <w:tblLook w:val="0400" w:firstRow="0" w:lastRow="0" w:firstColumn="0" w:lastColumn="0" w:noHBand="0" w:noVBand="1"/>
            </w:tblPr>
            <w:tblGrid>
              <w:gridCol w:w="588"/>
              <w:gridCol w:w="3970"/>
              <w:gridCol w:w="3548"/>
            </w:tblGrid>
            <w:tr w:rsidR="003260AC" w14:paraId="03C082DC" w14:textId="77777777">
              <w:tc>
                <w:tcPr>
                  <w:tcW w:w="588" w:type="dxa"/>
                </w:tcPr>
                <w:p w14:paraId="29843BF5" w14:textId="77777777" w:rsidR="003260AC" w:rsidRDefault="003260AC"/>
              </w:tc>
              <w:tc>
                <w:tcPr>
                  <w:tcW w:w="3970" w:type="dxa"/>
                </w:tcPr>
                <w:p w14:paraId="50FCEB29" w14:textId="77777777" w:rsidR="003260AC" w:rsidRDefault="00DD6A7E">
                  <w:r>
                    <w:rPr>
                      <w:b/>
                    </w:rPr>
                    <w:br/>
                    <w:t>Category</w:t>
                  </w:r>
                </w:p>
              </w:tc>
              <w:tc>
                <w:tcPr>
                  <w:tcW w:w="3548" w:type="dxa"/>
                </w:tcPr>
                <w:p w14:paraId="11D676D6" w14:textId="77777777" w:rsidR="003260AC" w:rsidRDefault="00DD6A7E">
                  <w:pPr>
                    <w:rPr>
                      <w:b/>
                    </w:rPr>
                  </w:pPr>
                  <w:r>
                    <w:rPr>
                      <w:b/>
                    </w:rPr>
                    <w:br/>
                    <w:t>Name</w:t>
                  </w:r>
                </w:p>
                <w:p w14:paraId="6B99BBA4" w14:textId="77777777" w:rsidR="003260AC" w:rsidRDefault="003260AC"/>
              </w:tc>
            </w:tr>
            <w:tr w:rsidR="003260AC" w14:paraId="40DF0DEE" w14:textId="77777777">
              <w:tc>
                <w:tcPr>
                  <w:tcW w:w="588" w:type="dxa"/>
                </w:tcPr>
                <w:p w14:paraId="0B68E434" w14:textId="77777777" w:rsidR="003260AC" w:rsidRDefault="00DD6A7E">
                  <w:r>
                    <w:t>1.</w:t>
                  </w:r>
                </w:p>
              </w:tc>
              <w:tc>
                <w:tcPr>
                  <w:tcW w:w="3970" w:type="dxa"/>
                </w:tcPr>
                <w:p w14:paraId="52074DCC" w14:textId="77777777" w:rsidR="003260AC" w:rsidRDefault="00DD6A7E">
                  <w:r>
                    <w:t xml:space="preserve">Chair: Chair of Governors  </w:t>
                  </w:r>
                </w:p>
                <w:p w14:paraId="7D4059B5" w14:textId="77777777" w:rsidR="003260AC" w:rsidRDefault="003260AC"/>
              </w:tc>
              <w:tc>
                <w:tcPr>
                  <w:tcW w:w="3548" w:type="dxa"/>
                </w:tcPr>
                <w:p w14:paraId="28BE635A" w14:textId="77777777" w:rsidR="003260AC" w:rsidRPr="00A52851" w:rsidRDefault="00DD6A7E">
                  <w:r w:rsidRPr="00A52851">
                    <w:t xml:space="preserve">John Zealley </w:t>
                  </w:r>
                </w:p>
                <w:p w14:paraId="2AF62B12" w14:textId="77777777" w:rsidR="003260AC" w:rsidRPr="00A52851" w:rsidRDefault="003260AC">
                  <w:pPr>
                    <w:rPr>
                      <w:strike/>
                    </w:rPr>
                  </w:pPr>
                </w:p>
              </w:tc>
            </w:tr>
            <w:tr w:rsidR="003260AC" w14:paraId="47C3B1F6" w14:textId="77777777">
              <w:tc>
                <w:tcPr>
                  <w:tcW w:w="588" w:type="dxa"/>
                </w:tcPr>
                <w:p w14:paraId="48264CBC" w14:textId="77777777" w:rsidR="003260AC" w:rsidRDefault="00DD6A7E">
                  <w:r>
                    <w:t>2.</w:t>
                  </w:r>
                </w:p>
              </w:tc>
              <w:tc>
                <w:tcPr>
                  <w:tcW w:w="3970" w:type="dxa"/>
                </w:tcPr>
                <w:p w14:paraId="005AAA02" w14:textId="77777777" w:rsidR="003260AC" w:rsidRDefault="00DD6A7E">
                  <w:r>
                    <w:t>Vice-Chancellor</w:t>
                  </w:r>
                </w:p>
                <w:p w14:paraId="3138BCCF" w14:textId="77777777" w:rsidR="003260AC" w:rsidRDefault="003260AC"/>
              </w:tc>
              <w:tc>
                <w:tcPr>
                  <w:tcW w:w="3548" w:type="dxa"/>
                </w:tcPr>
                <w:p w14:paraId="68B01FE0" w14:textId="43A2E2D0" w:rsidR="003260AC" w:rsidRPr="00A52851" w:rsidRDefault="00DD6A7E">
                  <w:r w:rsidRPr="00A52851">
                    <w:t xml:space="preserve">Professor </w:t>
                  </w:r>
                  <w:r w:rsidR="00C25AC5">
                    <w:t>Helen Laville</w:t>
                  </w:r>
                </w:p>
              </w:tc>
            </w:tr>
            <w:tr w:rsidR="003260AC" w14:paraId="05CFB353" w14:textId="77777777">
              <w:tc>
                <w:tcPr>
                  <w:tcW w:w="588" w:type="dxa"/>
                </w:tcPr>
                <w:p w14:paraId="398EFF30" w14:textId="77777777" w:rsidR="003260AC" w:rsidRDefault="00DD6A7E">
                  <w:r>
                    <w:t>3.</w:t>
                  </w:r>
                </w:p>
              </w:tc>
              <w:tc>
                <w:tcPr>
                  <w:tcW w:w="3970" w:type="dxa"/>
                </w:tcPr>
                <w:p w14:paraId="3DE09F97" w14:textId="77777777" w:rsidR="003260AC" w:rsidRDefault="00DD6A7E">
                  <w:r>
                    <w:t>Independent Governor</w:t>
                  </w:r>
                </w:p>
                <w:p w14:paraId="6D5744CF" w14:textId="77777777" w:rsidR="003260AC" w:rsidRDefault="003260AC"/>
              </w:tc>
              <w:tc>
                <w:tcPr>
                  <w:tcW w:w="3548" w:type="dxa"/>
                </w:tcPr>
                <w:p w14:paraId="47F7BB0D" w14:textId="392251D1" w:rsidR="003260AC" w:rsidRPr="00A52851" w:rsidRDefault="00671DB3">
                  <w:r>
                    <w:t>Rex Knight</w:t>
                  </w:r>
                </w:p>
              </w:tc>
            </w:tr>
            <w:tr w:rsidR="00C25AC5" w14:paraId="043FC26C" w14:textId="77777777">
              <w:tc>
                <w:tcPr>
                  <w:tcW w:w="588" w:type="dxa"/>
                </w:tcPr>
                <w:p w14:paraId="6810FEBD" w14:textId="0B0F7BD3" w:rsidR="00C25AC5" w:rsidRDefault="00C25AC5" w:rsidP="00C25AC5">
                  <w:r>
                    <w:t>4.</w:t>
                  </w:r>
                </w:p>
              </w:tc>
              <w:tc>
                <w:tcPr>
                  <w:tcW w:w="3970" w:type="dxa"/>
                </w:tcPr>
                <w:p w14:paraId="6F098BD3" w14:textId="21C939C2" w:rsidR="00C25AC5" w:rsidRDefault="00C25AC5" w:rsidP="00C25AC5">
                  <w:r>
                    <w:t>Independent Governor</w:t>
                  </w:r>
                </w:p>
              </w:tc>
              <w:tc>
                <w:tcPr>
                  <w:tcW w:w="3548" w:type="dxa"/>
                </w:tcPr>
                <w:p w14:paraId="750CBA5E" w14:textId="77777777" w:rsidR="00C25AC5" w:rsidRDefault="00C25AC5" w:rsidP="00C25AC5">
                  <w:r w:rsidRPr="00A52851">
                    <w:t xml:space="preserve">Anup </w:t>
                  </w:r>
                  <w:proofErr w:type="spellStart"/>
                  <w:r w:rsidRPr="00A52851">
                    <w:t>Mysoor</w:t>
                  </w:r>
                  <w:proofErr w:type="spellEnd"/>
                </w:p>
                <w:p w14:paraId="5C45FE75" w14:textId="3FB993AE" w:rsidR="00C25AC5" w:rsidRDefault="00C25AC5" w:rsidP="00C25AC5"/>
              </w:tc>
            </w:tr>
            <w:tr w:rsidR="003260AC" w14:paraId="3C59999C" w14:textId="77777777">
              <w:tc>
                <w:tcPr>
                  <w:tcW w:w="588" w:type="dxa"/>
                </w:tcPr>
                <w:p w14:paraId="0C1F2337" w14:textId="6EE6D0D3" w:rsidR="003260AC" w:rsidRDefault="00C25AC5">
                  <w:r>
                    <w:t>5</w:t>
                  </w:r>
                  <w:r w:rsidR="00DD6A7E">
                    <w:t>.</w:t>
                  </w:r>
                </w:p>
                <w:p w14:paraId="2196A0F7" w14:textId="77777777" w:rsidR="003260AC" w:rsidRDefault="003260AC"/>
              </w:tc>
              <w:tc>
                <w:tcPr>
                  <w:tcW w:w="3970" w:type="dxa"/>
                </w:tcPr>
                <w:p w14:paraId="2AA9EF1C" w14:textId="77777777" w:rsidR="003260AC" w:rsidRDefault="00DD6A7E">
                  <w:r>
                    <w:t>Independent Governor</w:t>
                  </w:r>
                </w:p>
              </w:tc>
              <w:tc>
                <w:tcPr>
                  <w:tcW w:w="3548" w:type="dxa"/>
                </w:tcPr>
                <w:p w14:paraId="5446D4AB" w14:textId="4D732EEF" w:rsidR="003260AC" w:rsidRPr="00A52851" w:rsidRDefault="00671DB3" w:rsidP="00DD6A7E">
                  <w:r>
                    <w:t>Jill Duffy</w:t>
                  </w:r>
                </w:p>
              </w:tc>
            </w:tr>
            <w:tr w:rsidR="003260AC" w14:paraId="6350AA39" w14:textId="77777777">
              <w:tc>
                <w:tcPr>
                  <w:tcW w:w="588" w:type="dxa"/>
                </w:tcPr>
                <w:p w14:paraId="5466C851" w14:textId="4147BFD8" w:rsidR="003260AC" w:rsidRDefault="00C25AC5">
                  <w:r>
                    <w:t>6</w:t>
                  </w:r>
                  <w:r w:rsidR="00DD6A7E">
                    <w:t>.</w:t>
                  </w:r>
                </w:p>
              </w:tc>
              <w:tc>
                <w:tcPr>
                  <w:tcW w:w="3970" w:type="dxa"/>
                </w:tcPr>
                <w:p w14:paraId="061FB2AE" w14:textId="77777777" w:rsidR="003260AC" w:rsidRDefault="00DD6A7E">
                  <w:r>
                    <w:t>Independent Governor</w:t>
                  </w:r>
                </w:p>
                <w:p w14:paraId="09167C3B" w14:textId="77777777" w:rsidR="003260AC" w:rsidRDefault="003260AC"/>
              </w:tc>
              <w:tc>
                <w:tcPr>
                  <w:tcW w:w="3548" w:type="dxa"/>
                </w:tcPr>
                <w:p w14:paraId="3EA88DB2" w14:textId="3377BF5A" w:rsidR="003260AC" w:rsidRPr="00A52851" w:rsidRDefault="00C25AC5">
                  <w:r>
                    <w:t>Vacancy</w:t>
                  </w:r>
                </w:p>
              </w:tc>
            </w:tr>
            <w:tr w:rsidR="003260AC" w14:paraId="2E6C8144" w14:textId="77777777">
              <w:tc>
                <w:tcPr>
                  <w:tcW w:w="588" w:type="dxa"/>
                </w:tcPr>
                <w:p w14:paraId="394E5FFA" w14:textId="77777777" w:rsidR="003260AC" w:rsidRDefault="00DD6A7E">
                  <w:r>
                    <w:t>7.</w:t>
                  </w:r>
                </w:p>
              </w:tc>
              <w:tc>
                <w:tcPr>
                  <w:tcW w:w="3970" w:type="dxa"/>
                </w:tcPr>
                <w:p w14:paraId="0EC4DBD4" w14:textId="77777777" w:rsidR="003260AC" w:rsidRDefault="00DD6A7E">
                  <w:r>
                    <w:t>President of the Students Union</w:t>
                  </w:r>
                  <w:r>
                    <w:br/>
                    <w:t>when considering appointment</w:t>
                  </w:r>
                  <w:r>
                    <w:br/>
                    <w:t>of a Chancellor</w:t>
                  </w:r>
                </w:p>
                <w:p w14:paraId="31321DF9" w14:textId="77777777" w:rsidR="003260AC" w:rsidRDefault="003260AC"/>
                <w:p w14:paraId="6AB497A5" w14:textId="77777777" w:rsidR="003260AC" w:rsidRDefault="00DD6A7E">
                  <w:pPr>
                    <w:rPr>
                      <w:i/>
                    </w:rPr>
                  </w:pPr>
                  <w:r>
                    <w:rPr>
                      <w:i/>
                    </w:rPr>
                    <w:t>In attendance:</w:t>
                  </w:r>
                </w:p>
                <w:p w14:paraId="2D2A8C01" w14:textId="77777777" w:rsidR="003260AC" w:rsidRDefault="003260AC"/>
              </w:tc>
              <w:tc>
                <w:tcPr>
                  <w:tcW w:w="3548" w:type="dxa"/>
                </w:tcPr>
                <w:p w14:paraId="5449CDE4" w14:textId="14DC7B1F" w:rsidR="003260AC" w:rsidRPr="00A52851" w:rsidRDefault="00A07BB4">
                  <w:r>
                    <w:t>Cas Fyneface</w:t>
                  </w:r>
                </w:p>
              </w:tc>
            </w:tr>
            <w:tr w:rsidR="003260AC" w14:paraId="7C414581" w14:textId="77777777">
              <w:tc>
                <w:tcPr>
                  <w:tcW w:w="588" w:type="dxa"/>
                </w:tcPr>
                <w:p w14:paraId="13A7D497" w14:textId="77777777" w:rsidR="003260AC" w:rsidRDefault="00DD6A7E">
                  <w:r>
                    <w:t>8.</w:t>
                  </w:r>
                </w:p>
                <w:p w14:paraId="289351E4" w14:textId="77777777" w:rsidR="003260AC" w:rsidRDefault="003260AC"/>
              </w:tc>
              <w:tc>
                <w:tcPr>
                  <w:tcW w:w="3970" w:type="dxa"/>
                </w:tcPr>
                <w:p w14:paraId="36B951AC" w14:textId="77777777" w:rsidR="003260AC" w:rsidRDefault="00DD6A7E">
                  <w:r>
                    <w:t>Registrar and Chief Operating Officer (Clerk to the Board of Governors)</w:t>
                  </w:r>
                </w:p>
                <w:p w14:paraId="7E7F1603" w14:textId="77777777" w:rsidR="003260AC" w:rsidRDefault="003260AC"/>
              </w:tc>
              <w:tc>
                <w:tcPr>
                  <w:tcW w:w="3548" w:type="dxa"/>
                </w:tcPr>
                <w:p w14:paraId="6C7C6BD2" w14:textId="77777777" w:rsidR="003260AC" w:rsidRDefault="00DD6A7E">
                  <w:r>
                    <w:t>Brendan Casey</w:t>
                  </w:r>
                </w:p>
              </w:tc>
            </w:tr>
            <w:tr w:rsidR="003260AC" w14:paraId="156C200C" w14:textId="77777777">
              <w:tc>
                <w:tcPr>
                  <w:tcW w:w="588" w:type="dxa"/>
                </w:tcPr>
                <w:p w14:paraId="6F146D8E" w14:textId="77777777" w:rsidR="003260AC" w:rsidRDefault="00DD6A7E">
                  <w:r>
                    <w:t>9.</w:t>
                  </w:r>
                </w:p>
              </w:tc>
              <w:tc>
                <w:tcPr>
                  <w:tcW w:w="3970" w:type="dxa"/>
                </w:tcPr>
                <w:p w14:paraId="7DBBDEFD" w14:textId="77777777" w:rsidR="003260AC" w:rsidRDefault="00DD6A7E">
                  <w:r>
                    <w:t>Secretary: Head of Secretariat</w:t>
                  </w:r>
                </w:p>
              </w:tc>
              <w:tc>
                <w:tcPr>
                  <w:tcW w:w="3548" w:type="dxa"/>
                </w:tcPr>
                <w:p w14:paraId="2B667A3C" w14:textId="77777777" w:rsidR="003260AC" w:rsidRDefault="00DD6A7E">
                  <w:r>
                    <w:t>Maria Crawford</w:t>
                  </w:r>
                </w:p>
              </w:tc>
            </w:tr>
            <w:tr w:rsidR="003260AC" w14:paraId="0C012AC7" w14:textId="77777777">
              <w:tc>
                <w:tcPr>
                  <w:tcW w:w="588" w:type="dxa"/>
                </w:tcPr>
                <w:p w14:paraId="70163470" w14:textId="77777777" w:rsidR="003260AC" w:rsidRDefault="003260AC"/>
              </w:tc>
              <w:tc>
                <w:tcPr>
                  <w:tcW w:w="3970" w:type="dxa"/>
                </w:tcPr>
                <w:p w14:paraId="1EE6A2DA" w14:textId="77777777" w:rsidR="003260AC" w:rsidRDefault="003260AC"/>
                <w:p w14:paraId="110249E8" w14:textId="77777777" w:rsidR="003260AC" w:rsidRDefault="003260AC"/>
              </w:tc>
              <w:tc>
                <w:tcPr>
                  <w:tcW w:w="3548" w:type="dxa"/>
                </w:tcPr>
                <w:p w14:paraId="1FDA126A" w14:textId="77777777" w:rsidR="003260AC" w:rsidRDefault="003260AC"/>
              </w:tc>
            </w:tr>
          </w:tbl>
          <w:p w14:paraId="23D2C599" w14:textId="77777777" w:rsidR="003260AC" w:rsidRDefault="003260AC"/>
        </w:tc>
      </w:tr>
    </w:tbl>
    <w:p w14:paraId="7AD0D8B8" w14:textId="77777777" w:rsidR="003260AC" w:rsidRDefault="003260AC">
      <w:pPr>
        <w:pStyle w:val="Heading1"/>
        <w:spacing w:before="1"/>
        <w:ind w:left="0" w:right="6322" w:firstLine="0"/>
      </w:pPr>
    </w:p>
    <w:p w14:paraId="3916F491" w14:textId="77777777" w:rsidR="003260AC" w:rsidRDefault="003260AC">
      <w:pPr>
        <w:pStyle w:val="Heading1"/>
        <w:spacing w:before="1"/>
        <w:ind w:left="0" w:right="6322" w:firstLine="0"/>
      </w:pPr>
    </w:p>
    <w:p w14:paraId="40B143E7" w14:textId="77777777" w:rsidR="003260AC" w:rsidRDefault="003260AC">
      <w:pPr>
        <w:pStyle w:val="Heading1"/>
        <w:spacing w:before="1"/>
        <w:ind w:left="0" w:right="6322" w:firstLine="0"/>
      </w:pPr>
    </w:p>
    <w:p w14:paraId="6B86DDF7" w14:textId="04F5145F" w:rsidR="003260AC" w:rsidRDefault="00DD6A7E">
      <w:pPr>
        <w:pStyle w:val="Heading1"/>
        <w:spacing w:before="1"/>
        <w:ind w:left="0" w:right="6322" w:firstLine="0"/>
      </w:pPr>
      <w:r>
        <w:t>Approved:</w:t>
      </w:r>
      <w:r>
        <w:rPr>
          <w:b w:val="0"/>
        </w:rPr>
        <w:t xml:space="preserve"> </w:t>
      </w:r>
      <w:r w:rsidR="00671DB3">
        <w:rPr>
          <w:b w:val="0"/>
        </w:rPr>
        <w:t>September 2025</w:t>
      </w:r>
    </w:p>
    <w:p w14:paraId="2FFE3FE6" w14:textId="77777777" w:rsidR="003260AC" w:rsidRDefault="003260AC">
      <w:pPr>
        <w:pStyle w:val="Heading1"/>
        <w:spacing w:before="1"/>
        <w:ind w:left="0" w:right="6322" w:firstLine="0"/>
      </w:pPr>
    </w:p>
    <w:p w14:paraId="47E61513" w14:textId="77777777" w:rsidR="003260AC" w:rsidRDefault="003260AC">
      <w:pPr>
        <w:pStyle w:val="Heading1"/>
        <w:spacing w:before="1"/>
        <w:ind w:left="0" w:right="6322" w:firstLine="0"/>
      </w:pPr>
    </w:p>
    <w:sectPr w:rsidR="003260AC">
      <w:footerReference w:type="default" r:id="rId8"/>
      <w:headerReference w:type="first" r:id="rId9"/>
      <w:pgSz w:w="11910" w:h="16840"/>
      <w:pgMar w:top="1580" w:right="1320" w:bottom="1100" w:left="700" w:header="0" w:footer="91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7758B" w14:textId="77777777" w:rsidR="00474ED9" w:rsidRDefault="00DD6A7E">
      <w:r>
        <w:separator/>
      </w:r>
    </w:p>
  </w:endnote>
  <w:endnote w:type="continuationSeparator" w:id="0">
    <w:p w14:paraId="0C74B89B" w14:textId="77777777" w:rsidR="00474ED9" w:rsidRDefault="00DD6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267B" w14:textId="77777777" w:rsidR="003260AC" w:rsidRDefault="00DD6A7E">
    <w:pPr>
      <w:pBdr>
        <w:top w:val="nil"/>
        <w:left w:val="nil"/>
        <w:bottom w:val="nil"/>
        <w:right w:val="nil"/>
        <w:between w:val="nil"/>
      </w:pBdr>
      <w:tabs>
        <w:tab w:val="center" w:pos="4513"/>
        <w:tab w:val="right" w:pos="9026"/>
      </w:tabs>
      <w:ind w:left="2687" w:firstLine="4513"/>
      <w:jc w:val="center"/>
      <w:rPr>
        <w:color w:val="000000"/>
      </w:rPr>
    </w:pPr>
    <w:r>
      <w:rPr>
        <w:i/>
        <w:color w:val="000000"/>
        <w:sz w:val="18"/>
        <w:szCs w:val="18"/>
      </w:rPr>
      <w:fldChar w:fldCharType="begin"/>
    </w:r>
    <w:r>
      <w:rPr>
        <w:i/>
        <w:color w:val="000000"/>
        <w:sz w:val="18"/>
        <w:szCs w:val="18"/>
      </w:rPr>
      <w:instrText>PAGE</w:instrText>
    </w:r>
    <w:r>
      <w:rPr>
        <w:i/>
        <w:color w:val="000000"/>
        <w:sz w:val="18"/>
        <w:szCs w:val="18"/>
      </w:rPr>
      <w:fldChar w:fldCharType="separate"/>
    </w:r>
    <w:r>
      <w:rPr>
        <w:i/>
        <w:noProof/>
        <w:color w:val="000000"/>
        <w:sz w:val="18"/>
        <w:szCs w:val="18"/>
      </w:rPr>
      <w:t>2</w:t>
    </w:r>
    <w:r>
      <w:rPr>
        <w:i/>
        <w:color w:val="000000"/>
        <w:sz w:val="18"/>
        <w:szCs w:val="18"/>
      </w:rPr>
      <w:fldChar w:fldCharType="end"/>
    </w:r>
    <w:r>
      <w:rPr>
        <w:i/>
        <w:color w:val="000000"/>
        <w:sz w:val="18"/>
        <w:szCs w:val="18"/>
      </w:rPr>
      <w:t xml:space="preserve"> of </w:t>
    </w:r>
    <w:r>
      <w:rPr>
        <w:i/>
        <w:color w:val="000000"/>
        <w:sz w:val="18"/>
        <w:szCs w:val="18"/>
      </w:rPr>
      <w:fldChar w:fldCharType="begin"/>
    </w:r>
    <w:r>
      <w:rPr>
        <w:i/>
        <w:color w:val="000000"/>
        <w:sz w:val="18"/>
        <w:szCs w:val="18"/>
      </w:rPr>
      <w:instrText>NUMPAGES</w:instrText>
    </w:r>
    <w:r>
      <w:rPr>
        <w:i/>
        <w:color w:val="000000"/>
        <w:sz w:val="18"/>
        <w:szCs w:val="18"/>
      </w:rPr>
      <w:fldChar w:fldCharType="separate"/>
    </w:r>
    <w:r>
      <w:rPr>
        <w:i/>
        <w:noProof/>
        <w:color w:val="000000"/>
        <w:sz w:val="18"/>
        <w:szCs w:val="18"/>
      </w:rPr>
      <w:t>2</w:t>
    </w:r>
    <w:r>
      <w:rPr>
        <w:i/>
        <w:color w:val="000000"/>
        <w:sz w:val="18"/>
        <w:szCs w:val="18"/>
      </w:rPr>
      <w:fldChar w:fldCharType="end"/>
    </w:r>
  </w:p>
  <w:p w14:paraId="2768EED0" w14:textId="77777777" w:rsidR="003260AC" w:rsidRDefault="003260AC">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45AE1" w14:textId="77777777" w:rsidR="00474ED9" w:rsidRDefault="00DD6A7E">
      <w:r>
        <w:separator/>
      </w:r>
    </w:p>
  </w:footnote>
  <w:footnote w:type="continuationSeparator" w:id="0">
    <w:p w14:paraId="56DA0FEA" w14:textId="77777777" w:rsidR="00474ED9" w:rsidRDefault="00DD6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AF008" w14:textId="77777777" w:rsidR="003260AC" w:rsidRDefault="00DD6A7E">
    <w:pPr>
      <w:pBdr>
        <w:top w:val="nil"/>
        <w:left w:val="nil"/>
        <w:bottom w:val="nil"/>
        <w:right w:val="nil"/>
        <w:between w:val="nil"/>
      </w:pBdr>
      <w:tabs>
        <w:tab w:val="center" w:pos="4513"/>
        <w:tab w:val="right" w:pos="9026"/>
      </w:tabs>
      <w:rPr>
        <w:color w:val="000000"/>
      </w:rPr>
    </w:pPr>
    <w:r>
      <w:rPr>
        <w:noProof/>
      </w:rPr>
      <w:drawing>
        <wp:anchor distT="0" distB="0" distL="0" distR="0" simplePos="0" relativeHeight="251658240" behindDoc="0" locked="0" layoutInCell="1" hidden="0" allowOverlap="1" wp14:anchorId="65D6FC68" wp14:editId="039E03B7">
          <wp:simplePos x="0" y="0"/>
          <wp:positionH relativeFrom="column">
            <wp:posOffset>-438149</wp:posOffset>
          </wp:positionH>
          <wp:positionV relativeFrom="paragraph">
            <wp:posOffset>0</wp:posOffset>
          </wp:positionV>
          <wp:extent cx="7560564" cy="1371599"/>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60564" cy="137159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154A1"/>
    <w:multiLevelType w:val="multilevel"/>
    <w:tmpl w:val="FACE6F66"/>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num w:numId="1" w16cid:durableId="1382706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0AC"/>
    <w:rsid w:val="002F4239"/>
    <w:rsid w:val="003260AC"/>
    <w:rsid w:val="00474ED9"/>
    <w:rsid w:val="00515EF3"/>
    <w:rsid w:val="00567B6B"/>
    <w:rsid w:val="00671DB3"/>
    <w:rsid w:val="008742BB"/>
    <w:rsid w:val="00A07BB4"/>
    <w:rsid w:val="00A52851"/>
    <w:rsid w:val="00AB0461"/>
    <w:rsid w:val="00BF3643"/>
    <w:rsid w:val="00C25AC5"/>
    <w:rsid w:val="00DD58FC"/>
    <w:rsid w:val="00DD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92BE8"/>
  <w15:docId w15:val="{1AC16D69-3E16-4B02-B414-EAFFBF1D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204"/>
      <w:ind w:left="472" w:hanging="360"/>
      <w:outlineLvl w:val="0"/>
    </w:pPr>
    <w:rPr>
      <w:b/>
      <w:bCs/>
      <w:sz w:val="21"/>
      <w:szCs w:val="21"/>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1730" w:hanging="737"/>
    </w:pPr>
  </w:style>
  <w:style w:type="paragraph" w:customStyle="1" w:styleId="TableParagraph">
    <w:name w:val="Table Paragraph"/>
    <w:basedOn w:val="Normal"/>
    <w:uiPriority w:val="1"/>
    <w:qFormat/>
    <w:pPr>
      <w:spacing w:before="117"/>
      <w:ind w:left="149"/>
    </w:pPr>
  </w:style>
  <w:style w:type="table" w:styleId="TableGrid">
    <w:name w:val="Table Grid"/>
    <w:basedOn w:val="TableNormal"/>
    <w:uiPriority w:val="59"/>
    <w:rsid w:val="00C74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1649"/>
    <w:pPr>
      <w:tabs>
        <w:tab w:val="center" w:pos="4513"/>
        <w:tab w:val="right" w:pos="9026"/>
      </w:tabs>
    </w:pPr>
  </w:style>
  <w:style w:type="character" w:customStyle="1" w:styleId="HeaderChar">
    <w:name w:val="Header Char"/>
    <w:basedOn w:val="DefaultParagraphFont"/>
    <w:link w:val="Header"/>
    <w:uiPriority w:val="99"/>
    <w:rsid w:val="006D1649"/>
    <w:rPr>
      <w:rFonts w:ascii="Arial" w:eastAsia="Arial" w:hAnsi="Arial" w:cs="Arial"/>
    </w:rPr>
  </w:style>
  <w:style w:type="paragraph" w:styleId="Footer">
    <w:name w:val="footer"/>
    <w:basedOn w:val="Normal"/>
    <w:link w:val="FooterChar"/>
    <w:uiPriority w:val="99"/>
    <w:unhideWhenUsed/>
    <w:rsid w:val="006D1649"/>
    <w:pPr>
      <w:tabs>
        <w:tab w:val="center" w:pos="4513"/>
        <w:tab w:val="right" w:pos="9026"/>
      </w:tabs>
    </w:pPr>
  </w:style>
  <w:style w:type="character" w:customStyle="1" w:styleId="FooterChar">
    <w:name w:val="Footer Char"/>
    <w:basedOn w:val="DefaultParagraphFont"/>
    <w:link w:val="Footer"/>
    <w:uiPriority w:val="99"/>
    <w:rsid w:val="006D1649"/>
    <w:rPr>
      <w:rFonts w:ascii="Arial" w:eastAsia="Arial" w:hAnsi="Arial" w:cs="Arial"/>
    </w:rPr>
  </w:style>
  <w:style w:type="paragraph" w:styleId="BalloonText">
    <w:name w:val="Balloon Text"/>
    <w:basedOn w:val="Normal"/>
    <w:link w:val="BalloonTextChar"/>
    <w:uiPriority w:val="99"/>
    <w:semiHidden/>
    <w:unhideWhenUsed/>
    <w:rsid w:val="001F00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018"/>
    <w:rPr>
      <w:rFonts w:ascii="Segoe UI" w:eastAsia="Arial" w:hAnsi="Segoe UI" w:cs="Segoe UI"/>
      <w:sz w:val="18"/>
      <w:szCs w:val="18"/>
    </w:rPr>
  </w:style>
  <w:style w:type="character" w:styleId="CommentReference">
    <w:name w:val="annotation reference"/>
    <w:basedOn w:val="DefaultParagraphFont"/>
    <w:uiPriority w:val="99"/>
    <w:semiHidden/>
    <w:unhideWhenUsed/>
    <w:rsid w:val="003A5506"/>
    <w:rPr>
      <w:sz w:val="16"/>
      <w:szCs w:val="16"/>
    </w:rPr>
  </w:style>
  <w:style w:type="paragraph" w:styleId="CommentText">
    <w:name w:val="annotation text"/>
    <w:basedOn w:val="Normal"/>
    <w:link w:val="CommentTextChar"/>
    <w:uiPriority w:val="99"/>
    <w:semiHidden/>
    <w:unhideWhenUsed/>
    <w:rsid w:val="003A5506"/>
    <w:rPr>
      <w:sz w:val="20"/>
      <w:szCs w:val="20"/>
    </w:rPr>
  </w:style>
  <w:style w:type="character" w:customStyle="1" w:styleId="CommentTextChar">
    <w:name w:val="Comment Text Char"/>
    <w:basedOn w:val="DefaultParagraphFont"/>
    <w:link w:val="CommentText"/>
    <w:uiPriority w:val="99"/>
    <w:semiHidden/>
    <w:rsid w:val="003A550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A5506"/>
    <w:rPr>
      <w:b/>
      <w:bCs/>
    </w:rPr>
  </w:style>
  <w:style w:type="character" w:customStyle="1" w:styleId="CommentSubjectChar">
    <w:name w:val="Comment Subject Char"/>
    <w:basedOn w:val="CommentTextChar"/>
    <w:link w:val="CommentSubject"/>
    <w:uiPriority w:val="99"/>
    <w:semiHidden/>
    <w:rsid w:val="003A5506"/>
    <w:rPr>
      <w:rFonts w:ascii="Arial" w:eastAsia="Arial" w:hAnsi="Arial" w:cs="Arial"/>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JnbKgRDeWyg/eciAQQBgIfsZ9Q==">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769</Words>
  <Characters>3971</Characters>
  <Application>Microsoft Office Word</Application>
  <DocSecurity>0</DocSecurity>
  <Lines>248</Lines>
  <Paragraphs>100</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Helene Augar</dc:creator>
  <cp:lastModifiedBy>Maria Crawford</cp:lastModifiedBy>
  <cp:revision>9</cp:revision>
  <dcterms:created xsi:type="dcterms:W3CDTF">2024-06-18T10:11:00Z</dcterms:created>
  <dcterms:modified xsi:type="dcterms:W3CDTF">2025-11-24T19:02:00Z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2017-10-31T00:00:00Z</vt:filetime>
  </property>
  <property fmtid="{D5CDD505-2E9C-101B-9397-08002B2CF9AE}" pid="3" name="Creator">
    <vt:lpwstr>Microsoft® Word 2010</vt:lpwstr>
  </property>
  <property fmtid="{D5CDD505-2E9C-101B-9397-08002B2CF9AE}" pid="4" name="LastSaved">
    <vt:filetime>2017-11-10T00:00:00Z</vt:filetime>
  </property>
</Properties>
</file>