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C0" w:rsidRPr="00A0723F" w:rsidRDefault="00D109C0">
      <w:pPr>
        <w:rPr>
          <w:b/>
          <w:sz w:val="22"/>
          <w:szCs w:val="22"/>
        </w:rPr>
      </w:pPr>
      <w:bookmarkStart w:id="0" w:name="_GoBack"/>
      <w:bookmarkEnd w:id="0"/>
      <w:r w:rsidRPr="00A0723F">
        <w:rPr>
          <w:b/>
          <w:sz w:val="22"/>
          <w:szCs w:val="22"/>
        </w:rPr>
        <w:t>Hepatitis B Immunisation Policy</w:t>
      </w:r>
    </w:p>
    <w:p w:rsidR="00D109C0" w:rsidRPr="00A0723F" w:rsidRDefault="00D109C0">
      <w:pPr>
        <w:rPr>
          <w:b/>
          <w:sz w:val="22"/>
          <w:szCs w:val="22"/>
        </w:rPr>
      </w:pPr>
    </w:p>
    <w:p w:rsidR="00D109C0" w:rsidRPr="00A0723F" w:rsidRDefault="00D109C0" w:rsidP="00570418">
      <w:pPr>
        <w:numPr>
          <w:ilvl w:val="0"/>
          <w:numId w:val="20"/>
        </w:numPr>
        <w:rPr>
          <w:b/>
          <w:sz w:val="22"/>
          <w:szCs w:val="22"/>
        </w:rPr>
      </w:pPr>
      <w:r w:rsidRPr="00A0723F">
        <w:rPr>
          <w:b/>
          <w:sz w:val="22"/>
          <w:szCs w:val="22"/>
        </w:rPr>
        <w:t>Introduction</w:t>
      </w:r>
    </w:p>
    <w:p w:rsidR="00915262" w:rsidRDefault="00915262" w:rsidP="00915262">
      <w:pPr>
        <w:jc w:val="both"/>
        <w:rPr>
          <w:sz w:val="22"/>
          <w:szCs w:val="22"/>
        </w:rPr>
      </w:pPr>
    </w:p>
    <w:p w:rsidR="002743CD" w:rsidRPr="00915262" w:rsidRDefault="00F8142F" w:rsidP="00915262">
      <w:pPr>
        <w:numPr>
          <w:ilvl w:val="1"/>
          <w:numId w:val="20"/>
        </w:numPr>
        <w:ind w:left="0" w:firstLine="0"/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Oxford Brookes </w:t>
      </w:r>
      <w:r w:rsidR="00D109C0" w:rsidRPr="00A0723F">
        <w:rPr>
          <w:sz w:val="22"/>
          <w:szCs w:val="22"/>
        </w:rPr>
        <w:t>University is aware that some of its staff may be exposed to the Hepatitis B virus a</w:t>
      </w:r>
      <w:r w:rsidR="00D109C0" w:rsidRPr="00915262">
        <w:rPr>
          <w:sz w:val="22"/>
          <w:szCs w:val="22"/>
        </w:rPr>
        <w:t xml:space="preserve">s a consequence of their employment.  </w:t>
      </w:r>
    </w:p>
    <w:p w:rsidR="002743CD" w:rsidRPr="00A0723F" w:rsidRDefault="002743CD" w:rsidP="00EE21A3">
      <w:pPr>
        <w:jc w:val="both"/>
        <w:rPr>
          <w:sz w:val="22"/>
          <w:szCs w:val="22"/>
        </w:rPr>
      </w:pPr>
    </w:p>
    <w:p w:rsidR="00D109C0" w:rsidRPr="00A0723F" w:rsidRDefault="002743CD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1.2 </w:t>
      </w:r>
      <w:r w:rsidR="00D109C0" w:rsidRPr="00A0723F">
        <w:rPr>
          <w:sz w:val="22"/>
          <w:szCs w:val="22"/>
        </w:rPr>
        <w:t>Good working practices should minimise the risk of occupationally acquired Hepatitis B, but as an additional measure, these are to be augmented by a Hepatitis B immunisation programme as defined by the guidance in this policy.  This will apply to all work activities involving actual or potential handling of blood or other bodily fluids and tissues.</w:t>
      </w:r>
    </w:p>
    <w:p w:rsidR="00127547" w:rsidRPr="00A0723F" w:rsidRDefault="00127547" w:rsidP="00EE21A3">
      <w:pPr>
        <w:jc w:val="both"/>
        <w:rPr>
          <w:sz w:val="22"/>
          <w:szCs w:val="22"/>
        </w:rPr>
      </w:pPr>
    </w:p>
    <w:p w:rsidR="00127547" w:rsidRDefault="002743CD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1.3 </w:t>
      </w:r>
      <w:r w:rsidR="00127547" w:rsidRPr="00A0723F">
        <w:rPr>
          <w:sz w:val="22"/>
          <w:szCs w:val="22"/>
        </w:rPr>
        <w:t>This policy should be read in conjunction with</w:t>
      </w:r>
      <w:r w:rsidR="007D1DE8" w:rsidRPr="00A0723F">
        <w:rPr>
          <w:sz w:val="22"/>
          <w:szCs w:val="22"/>
        </w:rPr>
        <w:t xml:space="preserve"> the following documents if pertinent to the </w:t>
      </w:r>
      <w:r w:rsidR="006D7D0E" w:rsidRPr="00A0723F">
        <w:rPr>
          <w:sz w:val="22"/>
          <w:szCs w:val="22"/>
        </w:rPr>
        <w:t>employee’s</w:t>
      </w:r>
      <w:r w:rsidR="003108ED" w:rsidRPr="00A0723F">
        <w:rPr>
          <w:sz w:val="22"/>
          <w:szCs w:val="22"/>
        </w:rPr>
        <w:t>/student’s</w:t>
      </w:r>
      <w:r w:rsidR="007D1DE8" w:rsidRPr="00A0723F">
        <w:rPr>
          <w:sz w:val="22"/>
          <w:szCs w:val="22"/>
        </w:rPr>
        <w:t xml:space="preserve"> duties</w:t>
      </w:r>
      <w:r w:rsidR="00127547" w:rsidRPr="00A0723F">
        <w:rPr>
          <w:sz w:val="22"/>
          <w:szCs w:val="22"/>
        </w:rPr>
        <w:t>:</w:t>
      </w:r>
    </w:p>
    <w:p w:rsidR="005C13BA" w:rsidRPr="00A0723F" w:rsidRDefault="005C13BA" w:rsidP="00EE21A3">
      <w:pPr>
        <w:jc w:val="both"/>
        <w:rPr>
          <w:sz w:val="22"/>
          <w:szCs w:val="22"/>
        </w:rPr>
      </w:pPr>
    </w:p>
    <w:p w:rsidR="00127547" w:rsidRDefault="00127547" w:rsidP="00EE21A3">
      <w:pPr>
        <w:jc w:val="both"/>
        <w:rPr>
          <w:sz w:val="22"/>
          <w:szCs w:val="22"/>
        </w:rPr>
      </w:pPr>
    </w:p>
    <w:p w:rsidR="005C13BA" w:rsidRPr="005C13BA" w:rsidRDefault="005C13BA" w:rsidP="005C13BA">
      <w:pPr>
        <w:numPr>
          <w:ilvl w:val="0"/>
          <w:numId w:val="3"/>
        </w:numPr>
        <w:jc w:val="both"/>
        <w:rPr>
          <w:sz w:val="22"/>
          <w:szCs w:val="22"/>
        </w:rPr>
      </w:pPr>
      <w:r w:rsidRPr="005C13BA">
        <w:rPr>
          <w:sz w:val="22"/>
          <w:szCs w:val="22"/>
        </w:rPr>
        <w:t>Local Risk A</w:t>
      </w:r>
      <w:r>
        <w:rPr>
          <w:sz w:val="22"/>
          <w:szCs w:val="22"/>
        </w:rPr>
        <w:t>ssessments relating</w:t>
      </w:r>
      <w:r w:rsidRPr="005C13BA">
        <w:rPr>
          <w:sz w:val="22"/>
          <w:szCs w:val="22"/>
        </w:rPr>
        <w:t xml:space="preserve"> in the Faculty of Health and Life Sciences</w:t>
      </w:r>
      <w:r>
        <w:rPr>
          <w:sz w:val="22"/>
          <w:szCs w:val="22"/>
        </w:rPr>
        <w:t xml:space="preserve"> and Estates and Facilities Management</w:t>
      </w:r>
    </w:p>
    <w:p w:rsidR="000D0164" w:rsidRPr="005C13BA" w:rsidRDefault="007D1DE8" w:rsidP="005C13BA">
      <w:pPr>
        <w:numPr>
          <w:ilvl w:val="0"/>
          <w:numId w:val="3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Standard Operating </w:t>
      </w:r>
      <w:r w:rsidR="000D0164" w:rsidRPr="00A0723F">
        <w:rPr>
          <w:sz w:val="22"/>
          <w:szCs w:val="22"/>
        </w:rPr>
        <w:t>Procedure for blood taking via Venepuncture using Winged D</w:t>
      </w:r>
      <w:r w:rsidRPr="00A0723F">
        <w:rPr>
          <w:sz w:val="22"/>
          <w:szCs w:val="22"/>
        </w:rPr>
        <w:t>evice</w:t>
      </w:r>
      <w:r w:rsidR="007E094A" w:rsidRPr="00A0723F">
        <w:rPr>
          <w:sz w:val="22"/>
          <w:szCs w:val="22"/>
        </w:rPr>
        <w:t xml:space="preserve"> </w:t>
      </w:r>
      <w:r w:rsidR="005C13BA">
        <w:rPr>
          <w:sz w:val="22"/>
          <w:szCs w:val="22"/>
        </w:rPr>
        <w:t xml:space="preserve">(SOP-PEG05); </w:t>
      </w:r>
      <w:r w:rsidRPr="005C13BA">
        <w:rPr>
          <w:sz w:val="22"/>
          <w:szCs w:val="22"/>
        </w:rPr>
        <w:t>St</w:t>
      </w:r>
      <w:r w:rsidR="000D0164" w:rsidRPr="005C13BA">
        <w:rPr>
          <w:sz w:val="22"/>
          <w:szCs w:val="22"/>
        </w:rPr>
        <w:t>andard Operating Procedure for Capillary Blood S</w:t>
      </w:r>
      <w:r w:rsidRPr="005C13BA">
        <w:rPr>
          <w:sz w:val="22"/>
          <w:szCs w:val="22"/>
        </w:rPr>
        <w:t>ampling</w:t>
      </w:r>
      <w:r w:rsidR="007E094A" w:rsidRPr="005C13BA">
        <w:rPr>
          <w:sz w:val="22"/>
          <w:szCs w:val="22"/>
        </w:rPr>
        <w:t xml:space="preserve"> (S</w:t>
      </w:r>
      <w:r w:rsidR="005C13BA">
        <w:rPr>
          <w:sz w:val="22"/>
          <w:szCs w:val="22"/>
        </w:rPr>
        <w:t xml:space="preserve">OP-PEG04); </w:t>
      </w:r>
      <w:r w:rsidR="000D0164" w:rsidRPr="005C13BA">
        <w:rPr>
          <w:sz w:val="22"/>
          <w:szCs w:val="22"/>
        </w:rPr>
        <w:t>Standard Operating Proced</w:t>
      </w:r>
      <w:r w:rsidR="005C13BA">
        <w:rPr>
          <w:sz w:val="22"/>
          <w:szCs w:val="22"/>
        </w:rPr>
        <w:t xml:space="preserve">ure for Cannulation (SOP-PEG07); </w:t>
      </w:r>
      <w:r w:rsidR="000D0164" w:rsidRPr="005C13BA">
        <w:rPr>
          <w:sz w:val="22"/>
          <w:szCs w:val="22"/>
        </w:rPr>
        <w:t xml:space="preserve">Stand Operating Procedure for Collection of Blood Samples from Peripheral Venous Cannula (SOP-PEG06) Approved </w:t>
      </w:r>
      <w:r w:rsidR="005C13BA">
        <w:rPr>
          <w:sz w:val="22"/>
          <w:szCs w:val="22"/>
        </w:rPr>
        <w:t xml:space="preserve">in </w:t>
      </w:r>
      <w:r w:rsidR="000D0164" w:rsidRPr="005C13BA">
        <w:rPr>
          <w:sz w:val="22"/>
          <w:szCs w:val="22"/>
        </w:rPr>
        <w:t>November 2014</w:t>
      </w:r>
    </w:p>
    <w:p w:rsidR="00EE21A3" w:rsidRPr="00A0723F" w:rsidRDefault="00EE21A3" w:rsidP="00EE21A3">
      <w:pPr>
        <w:numPr>
          <w:ilvl w:val="0"/>
          <w:numId w:val="3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OBU</w:t>
      </w:r>
      <w:r w:rsidR="002743CD" w:rsidRPr="00A0723F">
        <w:rPr>
          <w:sz w:val="22"/>
          <w:szCs w:val="22"/>
        </w:rPr>
        <w:t>HSN-11</w:t>
      </w:r>
      <w:r w:rsidRPr="00A0723F">
        <w:rPr>
          <w:sz w:val="22"/>
          <w:szCs w:val="22"/>
        </w:rPr>
        <w:t>Accident, Incident, Dangerous Occurrence &amp; Disease Reporting Procedures and Investigations</w:t>
      </w:r>
      <w:r w:rsidR="00D138D6" w:rsidRPr="00A0723F">
        <w:rPr>
          <w:sz w:val="22"/>
          <w:szCs w:val="22"/>
        </w:rPr>
        <w:t xml:space="preserve"> Issue July 2014</w:t>
      </w:r>
    </w:p>
    <w:p w:rsidR="003108ED" w:rsidRPr="00A0723F" w:rsidRDefault="003108ED" w:rsidP="007D1DE8">
      <w:pPr>
        <w:rPr>
          <w:sz w:val="22"/>
          <w:szCs w:val="22"/>
        </w:rPr>
      </w:pPr>
    </w:p>
    <w:p w:rsidR="00650C7F" w:rsidRPr="00A0723F" w:rsidRDefault="00650C7F" w:rsidP="0076173F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1.4 The policy applies to employees of Oxford Brookes and </w:t>
      </w:r>
      <w:r w:rsidR="0076173F" w:rsidRPr="00A0723F">
        <w:rPr>
          <w:sz w:val="22"/>
          <w:szCs w:val="22"/>
        </w:rPr>
        <w:t>students and excludes</w:t>
      </w:r>
      <w:r w:rsidR="009535CF" w:rsidRPr="00A0723F">
        <w:rPr>
          <w:sz w:val="22"/>
          <w:szCs w:val="22"/>
        </w:rPr>
        <w:t xml:space="preserve"> health care students</w:t>
      </w:r>
      <w:r w:rsidRPr="00A0723F">
        <w:rPr>
          <w:sz w:val="22"/>
          <w:szCs w:val="22"/>
        </w:rPr>
        <w:t xml:space="preserve"> where alternative OH service arrangements exist</w:t>
      </w:r>
      <w:r w:rsidR="009535CF" w:rsidRPr="00A0723F">
        <w:rPr>
          <w:sz w:val="22"/>
          <w:szCs w:val="22"/>
        </w:rPr>
        <w:t xml:space="preserve"> in the assessment of fitness to practice</w:t>
      </w:r>
      <w:r w:rsidRPr="00A0723F">
        <w:rPr>
          <w:sz w:val="22"/>
          <w:szCs w:val="22"/>
        </w:rPr>
        <w:t>.</w:t>
      </w:r>
    </w:p>
    <w:p w:rsidR="00F8142F" w:rsidRDefault="00F8142F" w:rsidP="0076173F">
      <w:pPr>
        <w:jc w:val="both"/>
        <w:rPr>
          <w:sz w:val="22"/>
          <w:szCs w:val="22"/>
        </w:rPr>
      </w:pPr>
    </w:p>
    <w:p w:rsidR="00E83E1F" w:rsidRPr="00A0723F" w:rsidRDefault="00E83E1F" w:rsidP="0076173F">
      <w:pPr>
        <w:jc w:val="both"/>
        <w:rPr>
          <w:sz w:val="22"/>
          <w:szCs w:val="22"/>
        </w:rPr>
      </w:pPr>
    </w:p>
    <w:p w:rsidR="007D1DE8" w:rsidRPr="00A0723F" w:rsidRDefault="00EE21A3" w:rsidP="00570418">
      <w:pPr>
        <w:spacing w:after="240"/>
        <w:rPr>
          <w:b/>
          <w:sz w:val="22"/>
          <w:szCs w:val="22"/>
        </w:rPr>
      </w:pPr>
      <w:r w:rsidRPr="00A0723F">
        <w:rPr>
          <w:b/>
          <w:sz w:val="22"/>
          <w:szCs w:val="22"/>
        </w:rPr>
        <w:t xml:space="preserve">2.  </w:t>
      </w:r>
      <w:r w:rsidR="007D1DE8" w:rsidRPr="00A0723F">
        <w:rPr>
          <w:b/>
          <w:sz w:val="22"/>
          <w:szCs w:val="22"/>
        </w:rPr>
        <w:t>Legislation</w:t>
      </w:r>
    </w:p>
    <w:p w:rsidR="002743CD" w:rsidRPr="00A0723F" w:rsidRDefault="002743CD" w:rsidP="00B245E5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2.1 This includes:</w:t>
      </w:r>
    </w:p>
    <w:p w:rsidR="007D1DE8" w:rsidRPr="00A0723F" w:rsidRDefault="007D1DE8" w:rsidP="00B245E5">
      <w:pPr>
        <w:numPr>
          <w:ilvl w:val="0"/>
          <w:numId w:val="13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Health and Safety at Work Act 1974</w:t>
      </w:r>
    </w:p>
    <w:p w:rsidR="007D1DE8" w:rsidRPr="00A0723F" w:rsidRDefault="007D1DE8" w:rsidP="00B245E5">
      <w:pPr>
        <w:numPr>
          <w:ilvl w:val="0"/>
          <w:numId w:val="13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Management of Health &amp; Safety at Work Regulations 1999</w:t>
      </w:r>
    </w:p>
    <w:p w:rsidR="007D1DE8" w:rsidRPr="00A0723F" w:rsidRDefault="007D1DE8" w:rsidP="00B245E5">
      <w:pPr>
        <w:jc w:val="both"/>
        <w:rPr>
          <w:sz w:val="22"/>
          <w:szCs w:val="22"/>
        </w:rPr>
      </w:pPr>
    </w:p>
    <w:p w:rsidR="007D1DE8" w:rsidRPr="00A0723F" w:rsidRDefault="002743CD" w:rsidP="002743CD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2.2</w:t>
      </w:r>
      <w:r w:rsidR="007E0F2B" w:rsidRPr="00A0723F">
        <w:rPr>
          <w:sz w:val="22"/>
          <w:szCs w:val="22"/>
        </w:rPr>
        <w:t xml:space="preserve"> Specific</w:t>
      </w:r>
      <w:r w:rsidR="007D1DE8" w:rsidRPr="00A0723F">
        <w:rPr>
          <w:sz w:val="22"/>
          <w:szCs w:val="22"/>
        </w:rPr>
        <w:t xml:space="preserve"> Legislation</w:t>
      </w:r>
    </w:p>
    <w:p w:rsidR="007D1DE8" w:rsidRPr="00A0723F" w:rsidRDefault="007D1DE8" w:rsidP="002743CD">
      <w:pPr>
        <w:numPr>
          <w:ilvl w:val="0"/>
          <w:numId w:val="14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Control of </w:t>
      </w:r>
      <w:r w:rsidR="006D7D0E" w:rsidRPr="00A0723F">
        <w:rPr>
          <w:sz w:val="22"/>
          <w:szCs w:val="22"/>
        </w:rPr>
        <w:t>Substances Hazardous to Health Regulations 2002 (COSHH)</w:t>
      </w:r>
    </w:p>
    <w:p w:rsidR="006D7D0E" w:rsidRDefault="006D7D0E" w:rsidP="002743CD">
      <w:pPr>
        <w:jc w:val="both"/>
        <w:rPr>
          <w:sz w:val="22"/>
          <w:szCs w:val="22"/>
        </w:rPr>
      </w:pPr>
    </w:p>
    <w:p w:rsidR="00E83E1F" w:rsidRPr="00A0723F" w:rsidRDefault="00E83E1F" w:rsidP="002743CD">
      <w:pPr>
        <w:jc w:val="both"/>
        <w:rPr>
          <w:sz w:val="22"/>
          <w:szCs w:val="22"/>
        </w:rPr>
      </w:pPr>
    </w:p>
    <w:p w:rsidR="006D7D0E" w:rsidRPr="00A0723F" w:rsidRDefault="00EE21A3" w:rsidP="00570418">
      <w:pPr>
        <w:spacing w:after="240"/>
        <w:jc w:val="both"/>
        <w:rPr>
          <w:b/>
          <w:sz w:val="22"/>
          <w:szCs w:val="22"/>
        </w:rPr>
      </w:pPr>
      <w:r w:rsidRPr="00A0723F">
        <w:rPr>
          <w:b/>
          <w:sz w:val="22"/>
          <w:szCs w:val="22"/>
        </w:rPr>
        <w:t>3.</w:t>
      </w:r>
      <w:r w:rsidR="003710DD" w:rsidRPr="00A0723F">
        <w:rPr>
          <w:b/>
          <w:sz w:val="22"/>
          <w:szCs w:val="22"/>
        </w:rPr>
        <w:t xml:space="preserve"> </w:t>
      </w:r>
      <w:r w:rsidR="00346D87" w:rsidRPr="00A0723F">
        <w:rPr>
          <w:b/>
          <w:sz w:val="22"/>
          <w:szCs w:val="22"/>
        </w:rPr>
        <w:t>Hepatitis B</w:t>
      </w:r>
    </w:p>
    <w:p w:rsidR="00EE21A3" w:rsidRPr="00A0723F" w:rsidRDefault="002743CD" w:rsidP="00570418">
      <w:pPr>
        <w:spacing w:after="240"/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3.1 </w:t>
      </w:r>
      <w:r w:rsidR="006D7D0E" w:rsidRPr="00A0723F">
        <w:rPr>
          <w:sz w:val="22"/>
          <w:szCs w:val="22"/>
        </w:rPr>
        <w:t>Hepatitis B is a serious viral infection causing inflammation of the liver.  The virus is spread by cont</w:t>
      </w:r>
      <w:r w:rsidR="00EE21A3" w:rsidRPr="00A0723F">
        <w:rPr>
          <w:sz w:val="22"/>
          <w:szCs w:val="22"/>
        </w:rPr>
        <w:t>act with blood or body fluids (</w:t>
      </w:r>
      <w:r w:rsidR="006D7D0E" w:rsidRPr="00A0723F">
        <w:rPr>
          <w:sz w:val="22"/>
          <w:szCs w:val="22"/>
        </w:rPr>
        <w:t xml:space="preserve">through vaginal/anal intercourse, blood </w:t>
      </w:r>
      <w:r w:rsidR="00570418">
        <w:rPr>
          <w:sz w:val="22"/>
          <w:szCs w:val="22"/>
        </w:rPr>
        <w:t>-</w:t>
      </w:r>
      <w:r w:rsidR="006D7D0E" w:rsidRPr="00A0723F">
        <w:rPr>
          <w:sz w:val="22"/>
          <w:szCs w:val="22"/>
        </w:rPr>
        <w:t>t</w:t>
      </w:r>
      <w:r w:rsidR="00570418">
        <w:rPr>
          <w:sz w:val="22"/>
          <w:szCs w:val="22"/>
        </w:rPr>
        <w:t>o-</w:t>
      </w:r>
      <w:r w:rsidR="006D7D0E" w:rsidRPr="00A0723F">
        <w:rPr>
          <w:sz w:val="22"/>
          <w:szCs w:val="22"/>
        </w:rPr>
        <w:t>blood contact</w:t>
      </w:r>
      <w:r w:rsidR="00EE21A3" w:rsidRPr="00A0723F">
        <w:rPr>
          <w:sz w:val="22"/>
          <w:szCs w:val="22"/>
        </w:rPr>
        <w:t xml:space="preserve"> -</w:t>
      </w:r>
      <w:r w:rsidR="006D7D0E" w:rsidRPr="00A0723F">
        <w:rPr>
          <w:sz w:val="22"/>
          <w:szCs w:val="22"/>
        </w:rPr>
        <w:t xml:space="preserve"> </w:t>
      </w:r>
      <w:r w:rsidR="0050607F" w:rsidRPr="00A0723F">
        <w:rPr>
          <w:sz w:val="22"/>
          <w:szCs w:val="22"/>
        </w:rPr>
        <w:t>including</w:t>
      </w:r>
      <w:r w:rsidR="006D7D0E" w:rsidRPr="00A0723F">
        <w:rPr>
          <w:sz w:val="22"/>
          <w:szCs w:val="22"/>
        </w:rPr>
        <w:t xml:space="preserve"> needle sharing, ‘needle-stick injury) from an infected person.  </w:t>
      </w:r>
    </w:p>
    <w:p w:rsidR="006D7D0E" w:rsidRPr="00A0723F" w:rsidRDefault="002743CD" w:rsidP="002743CD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3.2 </w:t>
      </w:r>
      <w:r w:rsidR="006D7D0E" w:rsidRPr="00A0723F">
        <w:rPr>
          <w:sz w:val="22"/>
          <w:szCs w:val="22"/>
        </w:rPr>
        <w:t>The virus can infect without causing symptoms but some suffer an acute disease with flu-like symptoms.  If the infection persists it becomes chronic and the infected person may go on to develop cirrhosis or liver cancer.</w:t>
      </w:r>
    </w:p>
    <w:p w:rsidR="006D7D0E" w:rsidRPr="00A0723F" w:rsidRDefault="006D7D0E" w:rsidP="002743CD">
      <w:pPr>
        <w:jc w:val="both"/>
        <w:rPr>
          <w:sz w:val="22"/>
          <w:szCs w:val="22"/>
        </w:rPr>
      </w:pPr>
    </w:p>
    <w:p w:rsidR="006D7D0E" w:rsidRDefault="002743CD" w:rsidP="00A0723F">
      <w:pPr>
        <w:spacing w:after="240"/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3.3 </w:t>
      </w:r>
      <w:r w:rsidR="006D7D0E" w:rsidRPr="00A0723F">
        <w:rPr>
          <w:sz w:val="22"/>
          <w:szCs w:val="22"/>
        </w:rPr>
        <w:t>Transmission rates from</w:t>
      </w:r>
      <w:r w:rsidR="00A25AA3" w:rsidRPr="00A0723F">
        <w:rPr>
          <w:sz w:val="22"/>
          <w:szCs w:val="22"/>
        </w:rPr>
        <w:t xml:space="preserve"> infected persons are variable depending upon the degree of risk and the individual’s immune status.</w:t>
      </w:r>
    </w:p>
    <w:p w:rsidR="00983EAA" w:rsidRDefault="00983EAA" w:rsidP="00A0723F">
      <w:pPr>
        <w:spacing w:after="240"/>
        <w:jc w:val="both"/>
        <w:rPr>
          <w:b/>
          <w:sz w:val="22"/>
          <w:szCs w:val="22"/>
        </w:rPr>
      </w:pPr>
    </w:p>
    <w:p w:rsidR="00A25AA3" w:rsidRPr="00A0723F" w:rsidRDefault="00EE21A3" w:rsidP="00A0723F">
      <w:pPr>
        <w:spacing w:after="240"/>
        <w:jc w:val="both"/>
        <w:rPr>
          <w:b/>
          <w:sz w:val="22"/>
          <w:szCs w:val="22"/>
        </w:rPr>
      </w:pPr>
      <w:r w:rsidRPr="00A0723F">
        <w:rPr>
          <w:b/>
          <w:sz w:val="22"/>
          <w:szCs w:val="22"/>
        </w:rPr>
        <w:lastRenderedPageBreak/>
        <w:t>4.</w:t>
      </w:r>
      <w:r w:rsidR="007E0F2B" w:rsidRPr="00A0723F">
        <w:rPr>
          <w:b/>
          <w:sz w:val="22"/>
          <w:szCs w:val="22"/>
        </w:rPr>
        <w:t xml:space="preserve"> </w:t>
      </w:r>
      <w:r w:rsidR="002743CD" w:rsidRPr="00A0723F">
        <w:rPr>
          <w:b/>
          <w:sz w:val="22"/>
          <w:szCs w:val="22"/>
        </w:rPr>
        <w:t xml:space="preserve">  </w:t>
      </w:r>
      <w:r w:rsidR="003710DD" w:rsidRPr="00A0723F">
        <w:rPr>
          <w:b/>
          <w:sz w:val="22"/>
          <w:szCs w:val="22"/>
        </w:rPr>
        <w:t xml:space="preserve">Who Requires </w:t>
      </w:r>
      <w:r w:rsidR="00346D87" w:rsidRPr="00A0723F">
        <w:rPr>
          <w:b/>
          <w:sz w:val="22"/>
          <w:szCs w:val="22"/>
        </w:rPr>
        <w:t>Vaccination</w:t>
      </w:r>
    </w:p>
    <w:p w:rsidR="002743CD" w:rsidRPr="00A0723F" w:rsidRDefault="002743CD" w:rsidP="00A0723F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4.1 This</w:t>
      </w:r>
      <w:r w:rsidR="00A25AA3" w:rsidRPr="00A0723F">
        <w:rPr>
          <w:sz w:val="22"/>
          <w:szCs w:val="22"/>
        </w:rPr>
        <w:t xml:space="preserve"> include</w:t>
      </w:r>
      <w:r w:rsidRPr="00A0723F">
        <w:rPr>
          <w:sz w:val="22"/>
          <w:szCs w:val="22"/>
        </w:rPr>
        <w:t>s</w:t>
      </w:r>
      <w:r w:rsidR="00A25AA3" w:rsidRPr="00A0723F">
        <w:rPr>
          <w:sz w:val="22"/>
          <w:szCs w:val="22"/>
        </w:rPr>
        <w:t xml:space="preserve"> all employees</w:t>
      </w:r>
      <w:r w:rsidR="00650C7F" w:rsidRPr="00A0723F">
        <w:rPr>
          <w:sz w:val="22"/>
          <w:szCs w:val="22"/>
        </w:rPr>
        <w:t>/students</w:t>
      </w:r>
      <w:r w:rsidR="00A25AA3" w:rsidRPr="00A0723F">
        <w:rPr>
          <w:sz w:val="22"/>
          <w:szCs w:val="22"/>
        </w:rPr>
        <w:t xml:space="preserve"> who have d</w:t>
      </w:r>
      <w:r w:rsidRPr="00A0723F">
        <w:rPr>
          <w:sz w:val="22"/>
          <w:szCs w:val="22"/>
        </w:rPr>
        <w:t>irect contact with blood, blood- stained body fluids or human tissue samples.</w:t>
      </w:r>
    </w:p>
    <w:p w:rsidR="002743CD" w:rsidRPr="00A0723F" w:rsidRDefault="002743CD" w:rsidP="00A0723F">
      <w:pPr>
        <w:jc w:val="both"/>
        <w:rPr>
          <w:sz w:val="22"/>
          <w:szCs w:val="22"/>
        </w:rPr>
      </w:pPr>
    </w:p>
    <w:p w:rsidR="00A25AA3" w:rsidRPr="00A0723F" w:rsidRDefault="007E0F2B" w:rsidP="002743CD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4.2 Employees</w:t>
      </w:r>
      <w:r w:rsidR="00650C7F" w:rsidRPr="00A0723F">
        <w:rPr>
          <w:sz w:val="22"/>
          <w:szCs w:val="22"/>
        </w:rPr>
        <w:t>/students</w:t>
      </w:r>
      <w:r w:rsidR="00A25AA3" w:rsidRPr="00A0723F">
        <w:rPr>
          <w:sz w:val="22"/>
          <w:szCs w:val="22"/>
        </w:rPr>
        <w:t xml:space="preserve"> who are at risk of injury from blood-stained instruments.</w:t>
      </w:r>
    </w:p>
    <w:p w:rsidR="002743CD" w:rsidRPr="00A0723F" w:rsidRDefault="002743CD" w:rsidP="002743CD">
      <w:pPr>
        <w:jc w:val="both"/>
        <w:rPr>
          <w:sz w:val="22"/>
          <w:szCs w:val="22"/>
        </w:rPr>
      </w:pPr>
    </w:p>
    <w:p w:rsidR="002743CD" w:rsidRPr="00A0723F" w:rsidRDefault="007E0F2B" w:rsidP="002743CD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4.3 Any</w:t>
      </w:r>
      <w:r w:rsidR="00650C7F" w:rsidRPr="00A0723F">
        <w:rPr>
          <w:sz w:val="22"/>
          <w:szCs w:val="22"/>
        </w:rPr>
        <w:t xml:space="preserve"> employees/students</w:t>
      </w:r>
      <w:r w:rsidR="00A25AA3" w:rsidRPr="00A0723F">
        <w:rPr>
          <w:sz w:val="22"/>
          <w:szCs w:val="22"/>
        </w:rPr>
        <w:t xml:space="preserve"> who have reasonably anticipated contact with blood or other </w:t>
      </w:r>
      <w:r w:rsidR="002743CD" w:rsidRPr="00A0723F">
        <w:rPr>
          <w:sz w:val="22"/>
          <w:szCs w:val="22"/>
        </w:rPr>
        <w:t>potentially infectious materials during the performance of their jobs are   considered to have occupational exposure and to be at risk of being infected.</w:t>
      </w:r>
    </w:p>
    <w:p w:rsidR="002743CD" w:rsidRPr="00A0723F" w:rsidRDefault="002743CD" w:rsidP="00A0723F">
      <w:pPr>
        <w:spacing w:after="240"/>
        <w:jc w:val="both"/>
        <w:rPr>
          <w:sz w:val="22"/>
          <w:szCs w:val="22"/>
        </w:rPr>
      </w:pPr>
    </w:p>
    <w:p w:rsidR="002743CD" w:rsidRPr="00A0723F" w:rsidRDefault="00EE21A3" w:rsidP="00A0723F">
      <w:pPr>
        <w:spacing w:after="240"/>
        <w:jc w:val="both"/>
        <w:rPr>
          <w:b/>
          <w:sz w:val="22"/>
          <w:szCs w:val="22"/>
        </w:rPr>
      </w:pPr>
      <w:r w:rsidRPr="00A0723F">
        <w:rPr>
          <w:b/>
          <w:sz w:val="22"/>
          <w:szCs w:val="22"/>
        </w:rPr>
        <w:t xml:space="preserve">5. </w:t>
      </w:r>
      <w:r w:rsidR="002743CD" w:rsidRPr="00A0723F">
        <w:rPr>
          <w:b/>
          <w:sz w:val="22"/>
          <w:szCs w:val="22"/>
        </w:rPr>
        <w:t xml:space="preserve">  </w:t>
      </w:r>
      <w:r w:rsidR="00A25AA3" w:rsidRPr="00A0723F">
        <w:rPr>
          <w:b/>
          <w:sz w:val="22"/>
          <w:szCs w:val="22"/>
        </w:rPr>
        <w:t>Oc</w:t>
      </w:r>
      <w:r w:rsidR="00D138D6" w:rsidRPr="00A0723F">
        <w:rPr>
          <w:b/>
          <w:sz w:val="22"/>
          <w:szCs w:val="22"/>
        </w:rPr>
        <w:t>cupations Considered at Risk</w:t>
      </w:r>
    </w:p>
    <w:p w:rsidR="00A25AA3" w:rsidRPr="005E3FF8" w:rsidRDefault="002743CD" w:rsidP="00032408">
      <w:pPr>
        <w:numPr>
          <w:ilvl w:val="1"/>
          <w:numId w:val="19"/>
        </w:numPr>
        <w:jc w:val="both"/>
        <w:rPr>
          <w:b/>
          <w:sz w:val="22"/>
          <w:szCs w:val="22"/>
        </w:rPr>
      </w:pPr>
      <w:r w:rsidRPr="005E3FF8">
        <w:rPr>
          <w:b/>
          <w:sz w:val="22"/>
          <w:szCs w:val="22"/>
        </w:rPr>
        <w:t>This includes:</w:t>
      </w:r>
    </w:p>
    <w:p w:rsidR="00A0723F" w:rsidRPr="00C36C3B" w:rsidRDefault="00A0723F" w:rsidP="00032408">
      <w:pPr>
        <w:numPr>
          <w:ilvl w:val="0"/>
          <w:numId w:val="14"/>
        </w:numPr>
        <w:jc w:val="both"/>
        <w:rPr>
          <w:sz w:val="22"/>
          <w:szCs w:val="22"/>
        </w:rPr>
      </w:pPr>
      <w:r w:rsidRPr="00C36C3B">
        <w:rPr>
          <w:sz w:val="22"/>
          <w:szCs w:val="22"/>
        </w:rPr>
        <w:t>Staff and students carrying out research e.g. Human sciences</w:t>
      </w:r>
      <w:r w:rsidR="00FF3EBE" w:rsidRPr="00C36C3B">
        <w:rPr>
          <w:sz w:val="22"/>
          <w:szCs w:val="22"/>
        </w:rPr>
        <w:t>.</w:t>
      </w:r>
    </w:p>
    <w:p w:rsidR="00A25AA3" w:rsidRPr="00C36C3B" w:rsidRDefault="00A0723F" w:rsidP="00A0723F">
      <w:pPr>
        <w:numPr>
          <w:ilvl w:val="0"/>
          <w:numId w:val="14"/>
        </w:numPr>
        <w:rPr>
          <w:sz w:val="22"/>
          <w:szCs w:val="22"/>
        </w:rPr>
      </w:pPr>
      <w:r w:rsidRPr="00C36C3B">
        <w:rPr>
          <w:sz w:val="22"/>
          <w:szCs w:val="22"/>
        </w:rPr>
        <w:t xml:space="preserve">Maintenance /Refuse disposal / Estates </w:t>
      </w:r>
      <w:r w:rsidR="00C36C3B">
        <w:rPr>
          <w:sz w:val="22"/>
          <w:szCs w:val="22"/>
        </w:rPr>
        <w:t xml:space="preserve">and Accommodation </w:t>
      </w:r>
      <w:r w:rsidRPr="00C36C3B">
        <w:rPr>
          <w:sz w:val="22"/>
          <w:szCs w:val="22"/>
        </w:rPr>
        <w:t>Site</w:t>
      </w:r>
      <w:r w:rsidR="00A25AA3" w:rsidRPr="00C36C3B">
        <w:rPr>
          <w:sz w:val="22"/>
          <w:szCs w:val="22"/>
        </w:rPr>
        <w:t xml:space="preserve"> Services</w:t>
      </w:r>
      <w:r w:rsidR="00FF3EBE" w:rsidRPr="00C36C3B">
        <w:rPr>
          <w:sz w:val="22"/>
          <w:szCs w:val="22"/>
        </w:rPr>
        <w:t>.</w:t>
      </w:r>
    </w:p>
    <w:p w:rsidR="00A25AA3" w:rsidRPr="00C36C3B" w:rsidRDefault="00A25AA3" w:rsidP="002743CD">
      <w:pPr>
        <w:numPr>
          <w:ilvl w:val="0"/>
          <w:numId w:val="12"/>
        </w:numPr>
        <w:jc w:val="both"/>
        <w:rPr>
          <w:sz w:val="22"/>
          <w:szCs w:val="22"/>
        </w:rPr>
      </w:pPr>
      <w:r w:rsidRPr="00C36C3B">
        <w:rPr>
          <w:sz w:val="22"/>
          <w:szCs w:val="22"/>
        </w:rPr>
        <w:t>Laborat</w:t>
      </w:r>
      <w:r w:rsidR="00FF3EBE" w:rsidRPr="00C36C3B">
        <w:rPr>
          <w:sz w:val="22"/>
          <w:szCs w:val="22"/>
        </w:rPr>
        <w:t>ory Researchers / Technicians / F</w:t>
      </w:r>
      <w:r w:rsidRPr="00C36C3B">
        <w:rPr>
          <w:sz w:val="22"/>
          <w:szCs w:val="22"/>
        </w:rPr>
        <w:t>orensic work etc</w:t>
      </w:r>
      <w:r w:rsidR="00FF3EBE" w:rsidRPr="00C36C3B">
        <w:rPr>
          <w:sz w:val="22"/>
          <w:szCs w:val="22"/>
        </w:rPr>
        <w:t>.</w:t>
      </w:r>
    </w:p>
    <w:p w:rsidR="00A25AA3" w:rsidRPr="00C36C3B" w:rsidRDefault="00A25AA3" w:rsidP="002743CD">
      <w:pPr>
        <w:numPr>
          <w:ilvl w:val="0"/>
          <w:numId w:val="12"/>
        </w:numPr>
        <w:jc w:val="both"/>
        <w:rPr>
          <w:sz w:val="22"/>
          <w:szCs w:val="22"/>
        </w:rPr>
      </w:pPr>
      <w:r w:rsidRPr="00C36C3B">
        <w:rPr>
          <w:sz w:val="22"/>
          <w:szCs w:val="22"/>
        </w:rPr>
        <w:t>Medical / Dental / Health Care</w:t>
      </w:r>
      <w:r w:rsidR="00FF3EBE" w:rsidRPr="00C36C3B">
        <w:rPr>
          <w:sz w:val="22"/>
          <w:szCs w:val="22"/>
        </w:rPr>
        <w:t>.</w:t>
      </w:r>
    </w:p>
    <w:p w:rsidR="00A25AA3" w:rsidRPr="00A0723F" w:rsidRDefault="00A25AA3" w:rsidP="00A0723F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.</w:t>
      </w:r>
    </w:p>
    <w:p w:rsidR="00A25AA3" w:rsidRPr="00A0723F" w:rsidRDefault="009469EF" w:rsidP="002743CD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This list should</w:t>
      </w:r>
      <w:r w:rsidR="00A25AA3" w:rsidRPr="00A0723F">
        <w:rPr>
          <w:sz w:val="22"/>
          <w:szCs w:val="22"/>
        </w:rPr>
        <w:t xml:space="preserve"> not </w:t>
      </w:r>
      <w:r w:rsidRPr="00A0723F">
        <w:rPr>
          <w:sz w:val="22"/>
          <w:szCs w:val="22"/>
        </w:rPr>
        <w:t xml:space="preserve">be </w:t>
      </w:r>
      <w:r w:rsidR="00A25AA3" w:rsidRPr="00A0723F">
        <w:rPr>
          <w:sz w:val="22"/>
          <w:szCs w:val="22"/>
        </w:rPr>
        <w:t xml:space="preserve">considered </w:t>
      </w:r>
      <w:r w:rsidRPr="00A0723F">
        <w:rPr>
          <w:sz w:val="22"/>
          <w:szCs w:val="22"/>
        </w:rPr>
        <w:t xml:space="preserve">as </w:t>
      </w:r>
      <w:r w:rsidR="00A25AA3" w:rsidRPr="00A0723F">
        <w:rPr>
          <w:sz w:val="22"/>
          <w:szCs w:val="22"/>
        </w:rPr>
        <w:t>definitive.</w:t>
      </w:r>
      <w:r w:rsidR="007E094A" w:rsidRPr="00A0723F">
        <w:rPr>
          <w:sz w:val="22"/>
          <w:szCs w:val="22"/>
        </w:rPr>
        <w:t xml:space="preserve">  </w:t>
      </w:r>
    </w:p>
    <w:p w:rsidR="00A25AA3" w:rsidRPr="00A0723F" w:rsidRDefault="002743CD" w:rsidP="007F3291">
      <w:pPr>
        <w:spacing w:before="240"/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5.2 </w:t>
      </w:r>
      <w:r w:rsidR="00A25AA3" w:rsidRPr="00A0723F">
        <w:rPr>
          <w:sz w:val="22"/>
          <w:szCs w:val="22"/>
        </w:rPr>
        <w:t xml:space="preserve">Faculties </w:t>
      </w:r>
      <w:r w:rsidRPr="00A0723F">
        <w:rPr>
          <w:sz w:val="22"/>
          <w:szCs w:val="22"/>
        </w:rPr>
        <w:t>and Directorate that</w:t>
      </w:r>
      <w:r w:rsidR="00A25AA3" w:rsidRPr="00A0723F">
        <w:rPr>
          <w:sz w:val="22"/>
          <w:szCs w:val="22"/>
        </w:rPr>
        <w:t xml:space="preserve"> have identifi</w:t>
      </w:r>
      <w:r w:rsidRPr="00A0723F">
        <w:rPr>
          <w:sz w:val="22"/>
          <w:szCs w:val="22"/>
        </w:rPr>
        <w:t>ed a potential for exposure to blood borne v</w:t>
      </w:r>
      <w:r w:rsidR="00570418">
        <w:rPr>
          <w:sz w:val="22"/>
          <w:szCs w:val="22"/>
        </w:rPr>
        <w:t>iruses are required to</w:t>
      </w:r>
      <w:r w:rsidR="00A25AA3" w:rsidRPr="00A0723F">
        <w:rPr>
          <w:sz w:val="22"/>
          <w:szCs w:val="22"/>
        </w:rPr>
        <w:t xml:space="preserve"> carry out a local risk assessment, taking into account the general guidance contained within this policy.</w:t>
      </w:r>
    </w:p>
    <w:p w:rsidR="00D109C0" w:rsidRPr="00A0723F" w:rsidRDefault="00D109C0" w:rsidP="007F3291">
      <w:pPr>
        <w:spacing w:before="240"/>
        <w:jc w:val="both"/>
        <w:rPr>
          <w:sz w:val="22"/>
          <w:szCs w:val="22"/>
        </w:rPr>
      </w:pPr>
    </w:p>
    <w:p w:rsidR="007E0F2B" w:rsidRPr="00A0723F" w:rsidRDefault="00EE21A3" w:rsidP="00A0723F">
      <w:pPr>
        <w:spacing w:after="240"/>
        <w:jc w:val="both"/>
        <w:rPr>
          <w:b/>
          <w:sz w:val="22"/>
          <w:szCs w:val="22"/>
        </w:rPr>
      </w:pPr>
      <w:r w:rsidRPr="00A0723F">
        <w:rPr>
          <w:b/>
          <w:sz w:val="22"/>
          <w:szCs w:val="22"/>
        </w:rPr>
        <w:t>6.</w:t>
      </w:r>
      <w:r w:rsidR="007E0F2B" w:rsidRPr="00A0723F">
        <w:rPr>
          <w:b/>
          <w:sz w:val="22"/>
          <w:szCs w:val="22"/>
        </w:rPr>
        <w:t xml:space="preserve"> General Principles</w:t>
      </w:r>
    </w:p>
    <w:p w:rsidR="007E0F2B" w:rsidRPr="00A0723F" w:rsidRDefault="007D0DB4" w:rsidP="00A0723F">
      <w:pPr>
        <w:spacing w:after="240"/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6.1 </w:t>
      </w:r>
      <w:r w:rsidR="007E0F2B" w:rsidRPr="00A0723F">
        <w:rPr>
          <w:sz w:val="22"/>
          <w:szCs w:val="22"/>
        </w:rPr>
        <w:t>The risk of exposure to blood borne viruses can be significantly reduced by:</w:t>
      </w:r>
    </w:p>
    <w:p w:rsidR="007E0F2B" w:rsidRPr="00A0723F" w:rsidRDefault="007E0F2B" w:rsidP="002743CD">
      <w:pPr>
        <w:numPr>
          <w:ilvl w:val="0"/>
          <w:numId w:val="4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Implementing good hand washing techniques</w:t>
      </w:r>
      <w:r w:rsidR="00FF3EBE">
        <w:rPr>
          <w:sz w:val="22"/>
          <w:szCs w:val="22"/>
        </w:rPr>
        <w:t>.</w:t>
      </w:r>
    </w:p>
    <w:p w:rsidR="007E0F2B" w:rsidRPr="00A0723F" w:rsidRDefault="007E0F2B" w:rsidP="002743CD">
      <w:pPr>
        <w:numPr>
          <w:ilvl w:val="0"/>
          <w:numId w:val="4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Using protective clothing that is supplied; proportionate to the anticipated level of risk</w:t>
      </w:r>
      <w:r w:rsidR="00FF3EBE">
        <w:rPr>
          <w:sz w:val="22"/>
          <w:szCs w:val="22"/>
        </w:rPr>
        <w:t>.</w:t>
      </w:r>
    </w:p>
    <w:p w:rsidR="007E0F2B" w:rsidRPr="00A0723F" w:rsidRDefault="007E0F2B" w:rsidP="002743CD">
      <w:pPr>
        <w:numPr>
          <w:ilvl w:val="0"/>
          <w:numId w:val="4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Covering broken skin with plasters and suitable gloves</w:t>
      </w:r>
      <w:r w:rsidR="00FF3EBE">
        <w:rPr>
          <w:sz w:val="22"/>
          <w:szCs w:val="22"/>
        </w:rPr>
        <w:t>.</w:t>
      </w:r>
    </w:p>
    <w:p w:rsidR="007E0F2B" w:rsidRPr="00A0723F" w:rsidRDefault="007E0F2B" w:rsidP="002743CD">
      <w:pPr>
        <w:numPr>
          <w:ilvl w:val="0"/>
          <w:numId w:val="4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Not consuming food or drink in areas where there may be a risk of </w:t>
      </w:r>
      <w:r w:rsidR="00FF3EBE">
        <w:rPr>
          <w:sz w:val="22"/>
          <w:szCs w:val="22"/>
        </w:rPr>
        <w:t>exposure to blood borne viruses.</w:t>
      </w:r>
    </w:p>
    <w:p w:rsidR="00D109C0" w:rsidRPr="00A0723F" w:rsidRDefault="00D109C0" w:rsidP="002743CD">
      <w:pPr>
        <w:jc w:val="both"/>
        <w:rPr>
          <w:sz w:val="22"/>
          <w:szCs w:val="22"/>
        </w:rPr>
      </w:pPr>
    </w:p>
    <w:p w:rsidR="007D0DB4" w:rsidRPr="00A0723F" w:rsidRDefault="007D0DB4" w:rsidP="00570418">
      <w:pPr>
        <w:spacing w:after="240"/>
        <w:jc w:val="both"/>
        <w:rPr>
          <w:sz w:val="22"/>
          <w:szCs w:val="22"/>
        </w:rPr>
      </w:pPr>
      <w:r w:rsidRPr="00A0723F">
        <w:rPr>
          <w:sz w:val="22"/>
          <w:szCs w:val="22"/>
        </w:rPr>
        <w:t>6.2 Gloves and skin protection</w:t>
      </w:r>
    </w:p>
    <w:p w:rsidR="007D0DB4" w:rsidRPr="00A0723F" w:rsidRDefault="007D0DB4" w:rsidP="002743CD">
      <w:pPr>
        <w:numPr>
          <w:ilvl w:val="0"/>
          <w:numId w:val="6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Gloves of a suitable kind for the activity should be worn when handling body fluids.  (Latex and powdered gloves should be avoided).</w:t>
      </w:r>
    </w:p>
    <w:p w:rsidR="007D0DB4" w:rsidRPr="00A0723F" w:rsidRDefault="007D0DB4" w:rsidP="002743CD">
      <w:pPr>
        <w:numPr>
          <w:ilvl w:val="0"/>
          <w:numId w:val="6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The wearing of gloves does not replace the need for scrupulous hand washing.</w:t>
      </w:r>
    </w:p>
    <w:p w:rsidR="007D0DB4" w:rsidRPr="00A0723F" w:rsidRDefault="007D0DB4" w:rsidP="002743CD">
      <w:pPr>
        <w:numPr>
          <w:ilvl w:val="0"/>
          <w:numId w:val="6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An alcohol based rub may be used where the hands are not visibly contaminated and no wash facilities are available.</w:t>
      </w:r>
    </w:p>
    <w:p w:rsidR="007D0DB4" w:rsidRPr="00A0723F" w:rsidRDefault="007D0DB4" w:rsidP="002743CD">
      <w:pPr>
        <w:numPr>
          <w:ilvl w:val="0"/>
          <w:numId w:val="6"/>
        </w:num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Laboratory clothing should be washed at a high temperature (ideally o</w:t>
      </w:r>
      <w:r w:rsidR="00FF3EBE">
        <w:rPr>
          <w:sz w:val="22"/>
          <w:szCs w:val="22"/>
        </w:rPr>
        <w:t>ver 60 degrees).</w:t>
      </w:r>
    </w:p>
    <w:p w:rsidR="00F8142F" w:rsidRPr="00A0723F" w:rsidRDefault="00F8142F" w:rsidP="007D0DB4">
      <w:pPr>
        <w:rPr>
          <w:sz w:val="22"/>
          <w:szCs w:val="22"/>
        </w:rPr>
      </w:pPr>
    </w:p>
    <w:p w:rsidR="007D0DB4" w:rsidRPr="00A0723F" w:rsidRDefault="007D0DB4" w:rsidP="00570418">
      <w:pPr>
        <w:spacing w:after="240"/>
        <w:rPr>
          <w:sz w:val="22"/>
          <w:szCs w:val="22"/>
        </w:rPr>
      </w:pPr>
      <w:r w:rsidRPr="00A0723F">
        <w:rPr>
          <w:sz w:val="22"/>
          <w:szCs w:val="22"/>
        </w:rPr>
        <w:t>6.3 Waste disposal and sharps</w:t>
      </w:r>
    </w:p>
    <w:p w:rsidR="007D0DB4" w:rsidRPr="00A0723F" w:rsidRDefault="007D0DB4" w:rsidP="007D0DB4">
      <w:pPr>
        <w:numPr>
          <w:ilvl w:val="0"/>
          <w:numId w:val="7"/>
        </w:numPr>
        <w:rPr>
          <w:sz w:val="22"/>
          <w:szCs w:val="22"/>
        </w:rPr>
      </w:pPr>
      <w:r w:rsidRPr="00A0723F">
        <w:rPr>
          <w:sz w:val="22"/>
          <w:szCs w:val="22"/>
        </w:rPr>
        <w:t>All sharps (metal &amp; glass, needles, blades, pipette tips able to puncture plastic bags must be placed in the designated yellow sharps containers.</w:t>
      </w:r>
    </w:p>
    <w:p w:rsidR="007D0DB4" w:rsidRPr="00A0723F" w:rsidRDefault="007D0DB4" w:rsidP="007D0DB4">
      <w:pPr>
        <w:numPr>
          <w:ilvl w:val="0"/>
          <w:numId w:val="7"/>
        </w:numPr>
        <w:rPr>
          <w:sz w:val="22"/>
          <w:szCs w:val="22"/>
        </w:rPr>
      </w:pPr>
      <w:r w:rsidRPr="00A0723F">
        <w:rPr>
          <w:sz w:val="22"/>
          <w:szCs w:val="22"/>
        </w:rPr>
        <w:t>Wastes contaminated with cytotoxic or cytostatic substances may require further segregation.</w:t>
      </w:r>
    </w:p>
    <w:p w:rsidR="007D0DB4" w:rsidRPr="00A0723F" w:rsidRDefault="007D0DB4" w:rsidP="007D0DB4">
      <w:pPr>
        <w:rPr>
          <w:sz w:val="22"/>
          <w:szCs w:val="22"/>
        </w:rPr>
      </w:pPr>
    </w:p>
    <w:p w:rsidR="007D0DB4" w:rsidRPr="00A0723F" w:rsidRDefault="00915262" w:rsidP="00A0723F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EE21A3" w:rsidRPr="00A0723F">
        <w:rPr>
          <w:b/>
          <w:sz w:val="22"/>
          <w:szCs w:val="22"/>
        </w:rPr>
        <w:lastRenderedPageBreak/>
        <w:t xml:space="preserve">7.  </w:t>
      </w:r>
      <w:r w:rsidR="007D0DB4" w:rsidRPr="00A0723F">
        <w:rPr>
          <w:b/>
          <w:sz w:val="22"/>
          <w:szCs w:val="22"/>
        </w:rPr>
        <w:t>Risk Assessment</w:t>
      </w:r>
    </w:p>
    <w:p w:rsidR="00DD30D7" w:rsidRPr="00A0723F" w:rsidRDefault="001D47B1" w:rsidP="00570418">
      <w:pPr>
        <w:spacing w:after="240"/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7.1 </w:t>
      </w:r>
      <w:r w:rsidR="007D0DB4" w:rsidRPr="00A0723F">
        <w:rPr>
          <w:sz w:val="22"/>
          <w:szCs w:val="22"/>
        </w:rPr>
        <w:t>Eligibility for immunisation will be determined by risk asse</w:t>
      </w:r>
      <w:r w:rsidR="00650C7F" w:rsidRPr="00A0723F">
        <w:rPr>
          <w:sz w:val="22"/>
          <w:szCs w:val="22"/>
        </w:rPr>
        <w:t>ssment carried out by the</w:t>
      </w:r>
      <w:r w:rsidRPr="00A0723F">
        <w:rPr>
          <w:sz w:val="22"/>
          <w:szCs w:val="22"/>
        </w:rPr>
        <w:t xml:space="preserve"> Line Manager before the start of</w:t>
      </w:r>
      <w:r w:rsidR="007D0DB4" w:rsidRPr="00A0723F">
        <w:rPr>
          <w:sz w:val="22"/>
          <w:szCs w:val="22"/>
        </w:rPr>
        <w:t xml:space="preserve"> employment and annotated on the employee</w:t>
      </w:r>
      <w:r w:rsidR="00DD30D7" w:rsidRPr="00A0723F">
        <w:rPr>
          <w:sz w:val="22"/>
          <w:szCs w:val="22"/>
        </w:rPr>
        <w:t>’</w:t>
      </w:r>
      <w:r w:rsidR="007D0DB4" w:rsidRPr="00A0723F">
        <w:rPr>
          <w:sz w:val="22"/>
          <w:szCs w:val="22"/>
        </w:rPr>
        <w:t>s</w:t>
      </w:r>
      <w:r w:rsidR="00650C7F" w:rsidRPr="00A0723F">
        <w:rPr>
          <w:sz w:val="22"/>
          <w:szCs w:val="22"/>
        </w:rPr>
        <w:t>/student’s</w:t>
      </w:r>
      <w:r w:rsidR="007D0DB4" w:rsidRPr="00A0723F">
        <w:rPr>
          <w:sz w:val="22"/>
          <w:szCs w:val="22"/>
        </w:rPr>
        <w:t xml:space="preserve"> </w:t>
      </w:r>
      <w:r w:rsidR="00EE21A3" w:rsidRPr="00A0723F">
        <w:rPr>
          <w:sz w:val="22"/>
          <w:szCs w:val="22"/>
        </w:rPr>
        <w:t>Health Exposure Record (</w:t>
      </w:r>
      <w:r w:rsidR="00EE21A3" w:rsidRPr="00915262">
        <w:rPr>
          <w:sz w:val="22"/>
          <w:szCs w:val="22"/>
        </w:rPr>
        <w:t>A</w:t>
      </w:r>
      <w:r w:rsidR="00DD30D7" w:rsidRPr="00915262">
        <w:rPr>
          <w:sz w:val="22"/>
          <w:szCs w:val="22"/>
        </w:rPr>
        <w:t>ppendix 1)</w:t>
      </w:r>
    </w:p>
    <w:p w:rsidR="00DD30D7" w:rsidRPr="00A0723F" w:rsidRDefault="001D47B1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7.2</w:t>
      </w:r>
      <w:r w:rsidR="00DD30D7" w:rsidRPr="00A0723F">
        <w:rPr>
          <w:sz w:val="22"/>
          <w:szCs w:val="22"/>
        </w:rPr>
        <w:t xml:space="preserve"> Eligibility for immunisation of existing employees</w:t>
      </w:r>
      <w:r w:rsidR="00650C7F" w:rsidRPr="00A0723F">
        <w:rPr>
          <w:sz w:val="22"/>
          <w:szCs w:val="22"/>
        </w:rPr>
        <w:t>/students</w:t>
      </w:r>
      <w:r w:rsidR="00DD30D7" w:rsidRPr="00A0723F">
        <w:rPr>
          <w:sz w:val="22"/>
          <w:szCs w:val="22"/>
        </w:rPr>
        <w:t xml:space="preserve"> will be determined by risk assessment carried out by the Line Manager and annotated on the employee’s individual Health Exposure Record.</w:t>
      </w:r>
      <w:r w:rsidR="00EE21A3" w:rsidRPr="00A0723F">
        <w:rPr>
          <w:sz w:val="22"/>
          <w:szCs w:val="22"/>
        </w:rPr>
        <w:t xml:space="preserve"> </w:t>
      </w:r>
      <w:r w:rsidR="00DD30D7" w:rsidRPr="00A0723F">
        <w:rPr>
          <w:sz w:val="22"/>
          <w:szCs w:val="22"/>
        </w:rPr>
        <w:t>The employee</w:t>
      </w:r>
      <w:r w:rsidR="00650C7F" w:rsidRPr="00A0723F">
        <w:rPr>
          <w:sz w:val="22"/>
          <w:szCs w:val="22"/>
        </w:rPr>
        <w:t>/student</w:t>
      </w:r>
      <w:r w:rsidR="00DD30D7" w:rsidRPr="00A0723F">
        <w:rPr>
          <w:sz w:val="22"/>
          <w:szCs w:val="22"/>
        </w:rPr>
        <w:t xml:space="preserve"> will also be required to complete a Vaccination History Document prior to vaccinati</w:t>
      </w:r>
      <w:r w:rsidR="00650C7F" w:rsidRPr="00A0723F">
        <w:rPr>
          <w:sz w:val="22"/>
          <w:szCs w:val="22"/>
        </w:rPr>
        <w:t xml:space="preserve">on being considered / completed </w:t>
      </w:r>
      <w:r w:rsidR="00650C7F" w:rsidRPr="00915262">
        <w:rPr>
          <w:sz w:val="22"/>
          <w:szCs w:val="22"/>
        </w:rPr>
        <w:t>(Appendix 2).</w:t>
      </w:r>
    </w:p>
    <w:p w:rsidR="00DD30D7" w:rsidRPr="00A0723F" w:rsidRDefault="00DD30D7" w:rsidP="00EE21A3">
      <w:pPr>
        <w:jc w:val="both"/>
        <w:rPr>
          <w:sz w:val="22"/>
          <w:szCs w:val="22"/>
        </w:rPr>
      </w:pPr>
    </w:p>
    <w:p w:rsidR="00DD30D7" w:rsidRPr="00A0723F" w:rsidRDefault="001D47B1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7.3 U</w:t>
      </w:r>
      <w:r w:rsidR="00DD30D7" w:rsidRPr="00A0723F">
        <w:rPr>
          <w:sz w:val="22"/>
          <w:szCs w:val="22"/>
        </w:rPr>
        <w:t xml:space="preserve">niversity </w:t>
      </w:r>
      <w:r w:rsidR="00F023D1" w:rsidRPr="00A0723F">
        <w:rPr>
          <w:sz w:val="22"/>
          <w:szCs w:val="22"/>
        </w:rPr>
        <w:t>employees</w:t>
      </w:r>
      <w:r w:rsidR="00650C7F" w:rsidRPr="00A0723F">
        <w:rPr>
          <w:sz w:val="22"/>
          <w:szCs w:val="22"/>
        </w:rPr>
        <w:t>/students</w:t>
      </w:r>
      <w:r w:rsidR="00F023D1" w:rsidRPr="00A0723F">
        <w:rPr>
          <w:sz w:val="22"/>
          <w:szCs w:val="22"/>
        </w:rPr>
        <w:t xml:space="preserve"> who may be at risk of occupational exposure to Hepatitis B will be categorised into the following groups:</w:t>
      </w:r>
    </w:p>
    <w:p w:rsidR="00810874" w:rsidRPr="00A0723F" w:rsidRDefault="00810874" w:rsidP="00EE21A3">
      <w:pPr>
        <w:jc w:val="both"/>
        <w:rPr>
          <w:sz w:val="22"/>
          <w:szCs w:val="22"/>
        </w:rPr>
      </w:pPr>
    </w:p>
    <w:p w:rsidR="00810874" w:rsidRPr="00A0723F" w:rsidRDefault="00EE21A3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7.3.1 </w:t>
      </w:r>
      <w:r w:rsidR="007966BA" w:rsidRPr="00A0723F">
        <w:rPr>
          <w:sz w:val="22"/>
          <w:szCs w:val="22"/>
        </w:rPr>
        <w:t>High r</w:t>
      </w:r>
      <w:r w:rsidR="00810874" w:rsidRPr="00A0723F">
        <w:rPr>
          <w:sz w:val="22"/>
          <w:szCs w:val="22"/>
        </w:rPr>
        <w:t>isk</w:t>
      </w:r>
      <w:r w:rsidR="007966BA" w:rsidRPr="00A0723F">
        <w:rPr>
          <w:sz w:val="22"/>
          <w:szCs w:val="22"/>
        </w:rPr>
        <w:t xml:space="preserve">  roles include </w:t>
      </w:r>
      <w:r w:rsidR="009535CF" w:rsidRPr="00A0723F">
        <w:rPr>
          <w:sz w:val="22"/>
          <w:szCs w:val="22"/>
        </w:rPr>
        <w:t>employees</w:t>
      </w:r>
      <w:r w:rsidR="00810874" w:rsidRPr="00A0723F">
        <w:rPr>
          <w:sz w:val="22"/>
          <w:szCs w:val="22"/>
        </w:rPr>
        <w:t xml:space="preserve"> who, as a part of their normal duties would be expected to experience frequent direct exposure to blood or other potentially contaminated human tissue or fluids; and where an acute contamination incident</w:t>
      </w:r>
      <w:r w:rsidRPr="00A0723F">
        <w:rPr>
          <w:sz w:val="22"/>
          <w:szCs w:val="22"/>
        </w:rPr>
        <w:t xml:space="preserve"> may not be immediately noticed e.g. c</w:t>
      </w:r>
      <w:r w:rsidR="00810874" w:rsidRPr="00A0723F">
        <w:rPr>
          <w:sz w:val="22"/>
          <w:szCs w:val="22"/>
        </w:rPr>
        <w:t>linical academic staff involved in invasive or exposure prone procedures, forensic pathologists and dentists.</w:t>
      </w:r>
    </w:p>
    <w:p w:rsidR="00EE21A3" w:rsidRPr="00A0723F" w:rsidRDefault="00EE21A3" w:rsidP="00EE21A3">
      <w:pPr>
        <w:jc w:val="both"/>
        <w:rPr>
          <w:sz w:val="22"/>
          <w:szCs w:val="22"/>
        </w:rPr>
      </w:pPr>
    </w:p>
    <w:p w:rsidR="00810874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 </w:t>
      </w:r>
      <w:r w:rsidR="00810874" w:rsidRPr="00A0723F">
        <w:rPr>
          <w:sz w:val="22"/>
          <w:szCs w:val="22"/>
        </w:rPr>
        <w:t>Exposure prone procedures are those where the worker’s</w:t>
      </w:r>
      <w:r w:rsidR="009535CF" w:rsidRPr="00A0723F">
        <w:rPr>
          <w:sz w:val="22"/>
          <w:szCs w:val="22"/>
        </w:rPr>
        <w:t>/student’s</w:t>
      </w:r>
      <w:r w:rsidR="00810874" w:rsidRPr="00A0723F">
        <w:rPr>
          <w:sz w:val="22"/>
          <w:szCs w:val="22"/>
        </w:rPr>
        <w:t xml:space="preserve"> gloved hands may be in contact with sharp instruments, needle tips and sharp tissue inside an open body cavity, wound or confined anatomical space; where the hands are not visible at all times.</w:t>
      </w:r>
    </w:p>
    <w:p w:rsidR="00810874" w:rsidRPr="00A0723F" w:rsidRDefault="00810874" w:rsidP="00EE21A3">
      <w:pPr>
        <w:jc w:val="both"/>
        <w:rPr>
          <w:sz w:val="22"/>
          <w:szCs w:val="22"/>
        </w:rPr>
      </w:pPr>
    </w:p>
    <w:p w:rsidR="00810874" w:rsidRPr="00A0723F" w:rsidRDefault="003F2E0B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7.3.2</w:t>
      </w:r>
      <w:r w:rsidR="00EE21A3" w:rsidRPr="00A0723F">
        <w:rPr>
          <w:sz w:val="22"/>
          <w:szCs w:val="22"/>
        </w:rPr>
        <w:t xml:space="preserve"> </w:t>
      </w:r>
      <w:r w:rsidR="007966BA" w:rsidRPr="00A0723F">
        <w:rPr>
          <w:sz w:val="22"/>
          <w:szCs w:val="22"/>
        </w:rPr>
        <w:t>Moderate risk r</w:t>
      </w:r>
      <w:r w:rsidR="00810874" w:rsidRPr="00A0723F">
        <w:rPr>
          <w:sz w:val="22"/>
          <w:szCs w:val="22"/>
        </w:rPr>
        <w:t xml:space="preserve">oles </w:t>
      </w:r>
      <w:r w:rsidR="007966BA" w:rsidRPr="00A0723F">
        <w:rPr>
          <w:sz w:val="22"/>
          <w:szCs w:val="22"/>
        </w:rPr>
        <w:t xml:space="preserve">include employees </w:t>
      </w:r>
      <w:r w:rsidR="00810874" w:rsidRPr="00A0723F">
        <w:rPr>
          <w:sz w:val="22"/>
          <w:szCs w:val="22"/>
        </w:rPr>
        <w:t>where there is a risk of contamination on a regular basis, but safe systems of work should normally provide adequate protection against blood borne virus contamination.  Contamination incident</w:t>
      </w:r>
      <w:r w:rsidR="00EE21A3" w:rsidRPr="00A0723F">
        <w:rPr>
          <w:sz w:val="22"/>
          <w:szCs w:val="22"/>
        </w:rPr>
        <w:t>s are isolated and recognisable e.g.</w:t>
      </w:r>
      <w:r w:rsidR="001D47B1" w:rsidRPr="00A0723F">
        <w:rPr>
          <w:sz w:val="22"/>
          <w:szCs w:val="22"/>
        </w:rPr>
        <w:t xml:space="preserve"> </w:t>
      </w:r>
      <w:r w:rsidR="00810874" w:rsidRPr="00A0723F">
        <w:rPr>
          <w:sz w:val="22"/>
          <w:szCs w:val="22"/>
        </w:rPr>
        <w:t>academic medical staff not carrying out invasive or exposure prone procedures; laboratory technicians in pathology, haematology etc.</w:t>
      </w:r>
    </w:p>
    <w:p w:rsidR="00810874" w:rsidRPr="00A0723F" w:rsidRDefault="00810874" w:rsidP="00EE21A3">
      <w:pPr>
        <w:jc w:val="both"/>
        <w:rPr>
          <w:sz w:val="22"/>
          <w:szCs w:val="22"/>
        </w:rPr>
      </w:pPr>
    </w:p>
    <w:p w:rsidR="00810874" w:rsidRPr="00A0723F" w:rsidRDefault="003F2E0B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7.3.3</w:t>
      </w:r>
      <w:r w:rsidR="00EE21A3" w:rsidRPr="00A0723F">
        <w:rPr>
          <w:sz w:val="22"/>
          <w:szCs w:val="22"/>
        </w:rPr>
        <w:t xml:space="preserve"> </w:t>
      </w:r>
      <w:r w:rsidR="007966BA" w:rsidRPr="00A0723F">
        <w:rPr>
          <w:sz w:val="22"/>
          <w:szCs w:val="22"/>
        </w:rPr>
        <w:t>Low risk roles include w</w:t>
      </w:r>
      <w:r w:rsidR="00810874" w:rsidRPr="00A0723F">
        <w:rPr>
          <w:sz w:val="22"/>
          <w:szCs w:val="22"/>
        </w:rPr>
        <w:t>ork where there is occasional risk of exposure, but this is not a regular feature of the role.  Potential contamination incidents are isolated and recognisable.</w:t>
      </w:r>
      <w:r w:rsidR="00D138D6" w:rsidRPr="00A0723F">
        <w:rPr>
          <w:sz w:val="22"/>
          <w:szCs w:val="22"/>
        </w:rPr>
        <w:t xml:space="preserve">  This i</w:t>
      </w:r>
      <w:r w:rsidR="00810874" w:rsidRPr="00A0723F">
        <w:rPr>
          <w:sz w:val="22"/>
          <w:szCs w:val="22"/>
        </w:rPr>
        <w:t>nclude</w:t>
      </w:r>
      <w:r w:rsidR="00452040" w:rsidRPr="00A0723F">
        <w:rPr>
          <w:sz w:val="22"/>
          <w:szCs w:val="22"/>
        </w:rPr>
        <w:t>s security staff, porters, safety officers and domestic staff in areas where Hepatitis B is a significant hazard.</w:t>
      </w:r>
    </w:p>
    <w:p w:rsidR="00452040" w:rsidRPr="00A0723F" w:rsidRDefault="00452040" w:rsidP="00EE21A3">
      <w:pPr>
        <w:jc w:val="both"/>
        <w:rPr>
          <w:sz w:val="22"/>
          <w:szCs w:val="22"/>
        </w:rPr>
      </w:pPr>
    </w:p>
    <w:p w:rsidR="00452040" w:rsidRPr="00A0723F" w:rsidRDefault="003F2E0B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7.3.4</w:t>
      </w:r>
      <w:r w:rsidR="00EE21A3" w:rsidRPr="00A0723F">
        <w:rPr>
          <w:sz w:val="22"/>
          <w:szCs w:val="22"/>
        </w:rPr>
        <w:t xml:space="preserve"> </w:t>
      </w:r>
      <w:r w:rsidR="007966BA" w:rsidRPr="00A0723F">
        <w:rPr>
          <w:sz w:val="22"/>
          <w:szCs w:val="22"/>
        </w:rPr>
        <w:t>Roles identified as no normal r</w:t>
      </w:r>
      <w:r w:rsidR="00452040" w:rsidRPr="00A0723F">
        <w:rPr>
          <w:sz w:val="22"/>
          <w:szCs w:val="22"/>
        </w:rPr>
        <w:t>isk</w:t>
      </w:r>
      <w:r w:rsidR="00452040" w:rsidRPr="00A0723F">
        <w:rPr>
          <w:b/>
          <w:sz w:val="22"/>
          <w:szCs w:val="22"/>
        </w:rPr>
        <w:t xml:space="preserve"> </w:t>
      </w:r>
      <w:r w:rsidR="007966BA" w:rsidRPr="00A0723F">
        <w:rPr>
          <w:sz w:val="22"/>
          <w:szCs w:val="22"/>
        </w:rPr>
        <w:t>includes those where there is n</w:t>
      </w:r>
      <w:r w:rsidR="00452040" w:rsidRPr="00A0723F">
        <w:rPr>
          <w:sz w:val="22"/>
          <w:szCs w:val="22"/>
        </w:rPr>
        <w:t xml:space="preserve">o potential for contamination during </w:t>
      </w:r>
      <w:r w:rsidR="00EE21A3" w:rsidRPr="00A0723F">
        <w:rPr>
          <w:sz w:val="22"/>
          <w:szCs w:val="22"/>
        </w:rPr>
        <w:t xml:space="preserve">the normal course of employment e.g. </w:t>
      </w:r>
      <w:r w:rsidR="00452040" w:rsidRPr="00A0723F">
        <w:rPr>
          <w:sz w:val="22"/>
          <w:szCs w:val="22"/>
        </w:rPr>
        <w:t>administrative, clerical and kitchen staf</w:t>
      </w:r>
      <w:r w:rsidR="005569C7" w:rsidRPr="00A0723F">
        <w:rPr>
          <w:sz w:val="22"/>
          <w:szCs w:val="22"/>
        </w:rPr>
        <w:t>f and most non-</w:t>
      </w:r>
      <w:r w:rsidR="00452040" w:rsidRPr="00A0723F">
        <w:rPr>
          <w:sz w:val="22"/>
          <w:szCs w:val="22"/>
        </w:rPr>
        <w:t>clinical academics.</w:t>
      </w:r>
    </w:p>
    <w:p w:rsidR="00EA54AE" w:rsidRPr="00A0723F" w:rsidRDefault="00EA54AE" w:rsidP="00EE21A3">
      <w:pPr>
        <w:jc w:val="both"/>
        <w:rPr>
          <w:sz w:val="22"/>
          <w:szCs w:val="22"/>
        </w:rPr>
      </w:pPr>
    </w:p>
    <w:p w:rsidR="00EA54AE" w:rsidRPr="00A0723F" w:rsidRDefault="001D47B1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7.4 </w:t>
      </w:r>
      <w:r w:rsidR="00EA54AE" w:rsidRPr="00A0723F">
        <w:rPr>
          <w:sz w:val="22"/>
          <w:szCs w:val="22"/>
        </w:rPr>
        <w:t>The cost of the vaccination course, subsequent serology and boost</w:t>
      </w:r>
      <w:r w:rsidR="005569C7" w:rsidRPr="00A0723F">
        <w:rPr>
          <w:sz w:val="22"/>
          <w:szCs w:val="22"/>
        </w:rPr>
        <w:t xml:space="preserve">er doses will be met by the </w:t>
      </w:r>
      <w:r w:rsidR="007966BA" w:rsidRPr="00A0723F">
        <w:rPr>
          <w:sz w:val="22"/>
          <w:szCs w:val="22"/>
        </w:rPr>
        <w:t>Faculty</w:t>
      </w:r>
      <w:r w:rsidR="005569C7" w:rsidRPr="00A0723F">
        <w:rPr>
          <w:sz w:val="22"/>
          <w:szCs w:val="22"/>
        </w:rPr>
        <w:t>/Directorate</w:t>
      </w:r>
      <w:r w:rsidR="007966BA" w:rsidRPr="00A0723F">
        <w:rPr>
          <w:sz w:val="22"/>
          <w:szCs w:val="22"/>
        </w:rPr>
        <w:t xml:space="preserve"> identifying </w:t>
      </w:r>
      <w:r w:rsidR="00EA54AE" w:rsidRPr="00A0723F">
        <w:rPr>
          <w:sz w:val="22"/>
          <w:szCs w:val="22"/>
        </w:rPr>
        <w:t>employee</w:t>
      </w:r>
      <w:r w:rsidR="007966BA" w:rsidRPr="00A0723F">
        <w:rPr>
          <w:sz w:val="22"/>
          <w:szCs w:val="22"/>
        </w:rPr>
        <w:t>s’</w:t>
      </w:r>
      <w:r w:rsidR="00EA54AE" w:rsidRPr="00A0723F">
        <w:rPr>
          <w:sz w:val="22"/>
          <w:szCs w:val="22"/>
        </w:rPr>
        <w:t xml:space="preserve"> as bein</w:t>
      </w:r>
      <w:r w:rsidR="009F7AF8" w:rsidRPr="00A0723F">
        <w:rPr>
          <w:sz w:val="22"/>
          <w:szCs w:val="22"/>
        </w:rPr>
        <w:t>g at risk from exposure to the H</w:t>
      </w:r>
      <w:r w:rsidR="00EA54AE" w:rsidRPr="00A0723F">
        <w:rPr>
          <w:sz w:val="22"/>
          <w:szCs w:val="22"/>
        </w:rPr>
        <w:t>epatitis B virus.</w:t>
      </w:r>
    </w:p>
    <w:p w:rsidR="009535CF" w:rsidRPr="00A0723F" w:rsidRDefault="009535CF" w:rsidP="00EE21A3">
      <w:pPr>
        <w:jc w:val="both"/>
        <w:rPr>
          <w:sz w:val="22"/>
          <w:szCs w:val="22"/>
        </w:rPr>
      </w:pPr>
    </w:p>
    <w:p w:rsidR="007E094A" w:rsidRPr="00A0723F" w:rsidRDefault="005569C7" w:rsidP="00570418">
      <w:pPr>
        <w:spacing w:after="240"/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7.5 </w:t>
      </w:r>
      <w:r w:rsidR="00C36C3B">
        <w:rPr>
          <w:sz w:val="22"/>
          <w:szCs w:val="22"/>
        </w:rPr>
        <w:t xml:space="preserve">Students admissions only – The Faculty </w:t>
      </w:r>
      <w:r w:rsidR="009535CF" w:rsidRPr="00A0723F">
        <w:rPr>
          <w:sz w:val="22"/>
          <w:szCs w:val="22"/>
        </w:rPr>
        <w:t xml:space="preserve">will issue guidance to students during the admissions process on the need for vaccination course, subsequent serology and booster doses.  </w:t>
      </w:r>
      <w:r w:rsidR="007E094A" w:rsidRPr="00A0723F">
        <w:rPr>
          <w:sz w:val="22"/>
          <w:szCs w:val="22"/>
        </w:rPr>
        <w:t>Any costs incurred during the vaccination process will be met by the Faculty/Directorate responsible for issuing the guidance.</w:t>
      </w:r>
    </w:p>
    <w:p w:rsidR="0050607F" w:rsidRPr="00A0723F" w:rsidRDefault="00976706" w:rsidP="00A0723F">
      <w:pPr>
        <w:spacing w:after="240"/>
        <w:jc w:val="both"/>
        <w:rPr>
          <w:b/>
          <w:sz w:val="22"/>
          <w:szCs w:val="22"/>
        </w:rPr>
      </w:pPr>
      <w:r w:rsidRPr="00A0723F">
        <w:rPr>
          <w:b/>
          <w:sz w:val="22"/>
          <w:szCs w:val="22"/>
        </w:rPr>
        <w:t xml:space="preserve">8. </w:t>
      </w:r>
      <w:r w:rsidR="0050607F" w:rsidRPr="00A0723F">
        <w:rPr>
          <w:b/>
          <w:sz w:val="22"/>
          <w:szCs w:val="22"/>
        </w:rPr>
        <w:t>Risk Management</w:t>
      </w:r>
    </w:p>
    <w:p w:rsidR="00C375E1" w:rsidRPr="00A0723F" w:rsidRDefault="00C375E1" w:rsidP="005C13BA">
      <w:pPr>
        <w:spacing w:after="240"/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8.1 </w:t>
      </w:r>
      <w:r w:rsidR="0050607F" w:rsidRPr="00A0723F">
        <w:rPr>
          <w:sz w:val="22"/>
          <w:szCs w:val="22"/>
        </w:rPr>
        <w:t>Under normal circumstances the risk assessment will be undertaken within each Department</w:t>
      </w:r>
      <w:r w:rsidR="001D47B1" w:rsidRPr="00A0723F">
        <w:rPr>
          <w:sz w:val="22"/>
          <w:szCs w:val="22"/>
        </w:rPr>
        <w:t xml:space="preserve"> </w:t>
      </w:r>
      <w:r w:rsidR="007E094A" w:rsidRPr="00A0723F">
        <w:rPr>
          <w:sz w:val="22"/>
          <w:szCs w:val="22"/>
        </w:rPr>
        <w:t xml:space="preserve">by a member of staff </w:t>
      </w:r>
      <w:r w:rsidR="003F2E0B" w:rsidRPr="00A0723F">
        <w:rPr>
          <w:sz w:val="22"/>
          <w:szCs w:val="22"/>
        </w:rPr>
        <w:t xml:space="preserve">deemed </w:t>
      </w:r>
      <w:r w:rsidR="000D0164" w:rsidRPr="00A0723F">
        <w:rPr>
          <w:sz w:val="22"/>
          <w:szCs w:val="22"/>
        </w:rPr>
        <w:t>suitably qualified to carry</w:t>
      </w:r>
      <w:r w:rsidR="005569C7" w:rsidRPr="00A0723F">
        <w:rPr>
          <w:sz w:val="22"/>
          <w:szCs w:val="22"/>
        </w:rPr>
        <w:t xml:space="preserve"> </w:t>
      </w:r>
      <w:r w:rsidR="00AD7B8D" w:rsidRPr="00A0723F">
        <w:rPr>
          <w:sz w:val="22"/>
          <w:szCs w:val="22"/>
        </w:rPr>
        <w:t xml:space="preserve">out </w:t>
      </w:r>
      <w:r w:rsidR="003F2E0B" w:rsidRPr="00A0723F">
        <w:rPr>
          <w:sz w:val="22"/>
          <w:szCs w:val="22"/>
        </w:rPr>
        <w:t>assessment of risk</w:t>
      </w:r>
      <w:r w:rsidR="00AD7B8D" w:rsidRPr="00A0723F">
        <w:rPr>
          <w:sz w:val="22"/>
          <w:szCs w:val="22"/>
        </w:rPr>
        <w:t xml:space="preserve"> within that specified work environment</w:t>
      </w:r>
      <w:r w:rsidR="000D0164" w:rsidRPr="00A0723F">
        <w:rPr>
          <w:sz w:val="22"/>
          <w:szCs w:val="22"/>
        </w:rPr>
        <w:t xml:space="preserve"> e.g</w:t>
      </w:r>
      <w:r w:rsidR="003F2E0B" w:rsidRPr="00A0723F">
        <w:rPr>
          <w:sz w:val="22"/>
          <w:szCs w:val="22"/>
        </w:rPr>
        <w:t>. Departmental Manager</w:t>
      </w:r>
      <w:r w:rsidR="005569C7" w:rsidRPr="00A0723F">
        <w:rPr>
          <w:sz w:val="22"/>
          <w:szCs w:val="22"/>
        </w:rPr>
        <w:t xml:space="preserve"> or Laboratory Technician</w:t>
      </w:r>
      <w:r w:rsidR="003F2E0B" w:rsidRPr="00A0723F">
        <w:rPr>
          <w:sz w:val="22"/>
          <w:szCs w:val="22"/>
        </w:rPr>
        <w:t xml:space="preserve">.  Additional advice </w:t>
      </w:r>
      <w:r w:rsidR="00AD7B8D" w:rsidRPr="00A0723F">
        <w:rPr>
          <w:sz w:val="22"/>
          <w:szCs w:val="22"/>
        </w:rPr>
        <w:t xml:space="preserve">however, </w:t>
      </w:r>
      <w:r w:rsidR="003C33F2" w:rsidRPr="00A0723F">
        <w:rPr>
          <w:sz w:val="22"/>
          <w:szCs w:val="22"/>
        </w:rPr>
        <w:t>may be sort from the University Health and Safety Adviser or Occupational Health Department</w:t>
      </w:r>
      <w:r w:rsidR="00AD7B8D" w:rsidRPr="00A0723F">
        <w:rPr>
          <w:sz w:val="22"/>
          <w:szCs w:val="22"/>
        </w:rPr>
        <w:t xml:space="preserve"> </w:t>
      </w:r>
      <w:r w:rsidR="003F2E0B" w:rsidRPr="00A0723F">
        <w:rPr>
          <w:sz w:val="22"/>
          <w:szCs w:val="22"/>
        </w:rPr>
        <w:t>if required.</w:t>
      </w:r>
    </w:p>
    <w:p w:rsidR="008D37E5" w:rsidRPr="00A0723F" w:rsidRDefault="00C375E1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lastRenderedPageBreak/>
        <w:t xml:space="preserve">8.2 </w:t>
      </w:r>
      <w:r w:rsidR="00AA515F" w:rsidRPr="00A0723F">
        <w:rPr>
          <w:sz w:val="22"/>
          <w:szCs w:val="22"/>
        </w:rPr>
        <w:t>Each Department will</w:t>
      </w:r>
      <w:r w:rsidR="0050607F" w:rsidRPr="00A0723F">
        <w:rPr>
          <w:sz w:val="22"/>
          <w:szCs w:val="22"/>
        </w:rPr>
        <w:t xml:space="preserve"> s</w:t>
      </w:r>
      <w:r w:rsidR="0075137A" w:rsidRPr="00A0723F">
        <w:rPr>
          <w:sz w:val="22"/>
          <w:szCs w:val="22"/>
        </w:rPr>
        <w:t>ubmit details of the employees/students</w:t>
      </w:r>
      <w:r w:rsidR="0050607F" w:rsidRPr="00A0723F">
        <w:rPr>
          <w:sz w:val="22"/>
          <w:szCs w:val="22"/>
        </w:rPr>
        <w:t xml:space="preserve"> who fall </w:t>
      </w:r>
      <w:r w:rsidR="00F8142F" w:rsidRPr="00A0723F">
        <w:rPr>
          <w:sz w:val="22"/>
          <w:szCs w:val="22"/>
        </w:rPr>
        <w:t>i</w:t>
      </w:r>
      <w:r w:rsidR="003C33F2" w:rsidRPr="00A0723F">
        <w:rPr>
          <w:sz w:val="22"/>
          <w:szCs w:val="22"/>
        </w:rPr>
        <w:t xml:space="preserve">nto ‘at risk’ </w:t>
      </w:r>
      <w:r w:rsidR="00570418">
        <w:rPr>
          <w:sz w:val="22"/>
          <w:szCs w:val="22"/>
        </w:rPr>
        <w:t xml:space="preserve">categories to the </w:t>
      </w:r>
      <w:r w:rsidR="00FF3EBE">
        <w:rPr>
          <w:sz w:val="22"/>
          <w:szCs w:val="22"/>
        </w:rPr>
        <w:t xml:space="preserve">University </w:t>
      </w:r>
      <w:r w:rsidR="00570418">
        <w:rPr>
          <w:sz w:val="22"/>
          <w:szCs w:val="22"/>
        </w:rPr>
        <w:t xml:space="preserve">Occupational Health </w:t>
      </w:r>
      <w:r w:rsidR="007966BA" w:rsidRPr="00A0723F">
        <w:rPr>
          <w:sz w:val="22"/>
          <w:szCs w:val="22"/>
        </w:rPr>
        <w:t xml:space="preserve">Department </w:t>
      </w:r>
      <w:r w:rsidR="00A55E30" w:rsidRPr="00A0723F">
        <w:rPr>
          <w:sz w:val="22"/>
          <w:szCs w:val="22"/>
        </w:rPr>
        <w:t>and ann</w:t>
      </w:r>
      <w:r w:rsidR="0075137A" w:rsidRPr="00A0723F">
        <w:rPr>
          <w:sz w:val="22"/>
          <w:szCs w:val="22"/>
        </w:rPr>
        <w:t xml:space="preserve">otate the employees/students </w:t>
      </w:r>
      <w:r w:rsidR="00A55E30" w:rsidRPr="00A0723F">
        <w:rPr>
          <w:sz w:val="22"/>
          <w:szCs w:val="22"/>
        </w:rPr>
        <w:t>Health Exposure Sheet accordingly.</w:t>
      </w:r>
    </w:p>
    <w:p w:rsidR="001D47B1" w:rsidRPr="00A0723F" w:rsidRDefault="001D47B1" w:rsidP="00EE21A3">
      <w:pPr>
        <w:jc w:val="both"/>
        <w:rPr>
          <w:sz w:val="22"/>
          <w:szCs w:val="22"/>
        </w:rPr>
      </w:pPr>
    </w:p>
    <w:p w:rsidR="0050607F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8.3 </w:t>
      </w:r>
      <w:r w:rsidR="0050607F" w:rsidRPr="00A0723F">
        <w:rPr>
          <w:sz w:val="22"/>
          <w:szCs w:val="22"/>
        </w:rPr>
        <w:t>In addition to suitable risk assessments being provided the O</w:t>
      </w:r>
      <w:r w:rsidR="00570418">
        <w:rPr>
          <w:sz w:val="22"/>
          <w:szCs w:val="22"/>
        </w:rPr>
        <w:t xml:space="preserve">ccupational </w:t>
      </w:r>
      <w:r w:rsidR="0050607F" w:rsidRPr="00A0723F">
        <w:rPr>
          <w:sz w:val="22"/>
          <w:szCs w:val="22"/>
        </w:rPr>
        <w:t>H</w:t>
      </w:r>
      <w:r w:rsidR="00570418">
        <w:rPr>
          <w:sz w:val="22"/>
          <w:szCs w:val="22"/>
        </w:rPr>
        <w:t>ealth</w:t>
      </w:r>
      <w:r w:rsidR="009535CF" w:rsidRPr="00A0723F">
        <w:rPr>
          <w:sz w:val="22"/>
          <w:szCs w:val="22"/>
        </w:rPr>
        <w:t xml:space="preserve"> </w:t>
      </w:r>
      <w:r w:rsidR="0050607F" w:rsidRPr="00A0723F">
        <w:rPr>
          <w:sz w:val="22"/>
          <w:szCs w:val="22"/>
        </w:rPr>
        <w:t>D</w:t>
      </w:r>
      <w:r w:rsidR="009535CF" w:rsidRPr="00A0723F">
        <w:rPr>
          <w:sz w:val="22"/>
          <w:szCs w:val="22"/>
        </w:rPr>
        <w:t>epartment</w:t>
      </w:r>
      <w:r w:rsidR="0050607F" w:rsidRPr="00A0723F">
        <w:rPr>
          <w:sz w:val="22"/>
          <w:szCs w:val="22"/>
        </w:rPr>
        <w:t xml:space="preserve"> should be informed of any re-classification of employees as a result of changes in their work practices.</w:t>
      </w:r>
    </w:p>
    <w:p w:rsidR="008D37E5" w:rsidRPr="00A0723F" w:rsidRDefault="008D37E5" w:rsidP="00EE21A3">
      <w:pPr>
        <w:jc w:val="both"/>
        <w:rPr>
          <w:sz w:val="22"/>
          <w:szCs w:val="22"/>
        </w:rPr>
      </w:pPr>
    </w:p>
    <w:p w:rsidR="0050607F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8.4 </w:t>
      </w:r>
      <w:r w:rsidR="0050607F" w:rsidRPr="00A0723F">
        <w:rPr>
          <w:sz w:val="22"/>
          <w:szCs w:val="22"/>
        </w:rPr>
        <w:t>In the case of new employees please note</w:t>
      </w:r>
      <w:r w:rsidR="008D37E5" w:rsidRPr="00A0723F">
        <w:rPr>
          <w:sz w:val="22"/>
          <w:szCs w:val="22"/>
        </w:rPr>
        <w:t xml:space="preserve"> the requirement for information in 7.1 plus relevant information should also be made available through the computerised HR programme when an employee is recruited.</w:t>
      </w:r>
    </w:p>
    <w:p w:rsidR="008D37E5" w:rsidRPr="00A0723F" w:rsidRDefault="008D37E5" w:rsidP="00EE21A3">
      <w:pPr>
        <w:jc w:val="both"/>
        <w:rPr>
          <w:sz w:val="22"/>
          <w:szCs w:val="22"/>
        </w:rPr>
      </w:pPr>
    </w:p>
    <w:p w:rsidR="008D37E5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8.5 </w:t>
      </w:r>
      <w:r w:rsidR="007966BA" w:rsidRPr="00A0723F">
        <w:rPr>
          <w:sz w:val="22"/>
          <w:szCs w:val="22"/>
        </w:rPr>
        <w:t>These processes will enable O</w:t>
      </w:r>
      <w:r w:rsidR="00570418">
        <w:rPr>
          <w:sz w:val="22"/>
          <w:szCs w:val="22"/>
        </w:rPr>
        <w:t xml:space="preserve">ccupational </w:t>
      </w:r>
      <w:r w:rsidR="007966BA" w:rsidRPr="00A0723F">
        <w:rPr>
          <w:sz w:val="22"/>
          <w:szCs w:val="22"/>
        </w:rPr>
        <w:t>H</w:t>
      </w:r>
      <w:r w:rsidR="00570418">
        <w:rPr>
          <w:sz w:val="22"/>
          <w:szCs w:val="22"/>
        </w:rPr>
        <w:t>ealth</w:t>
      </w:r>
      <w:r w:rsidR="008D37E5" w:rsidRPr="00A0723F">
        <w:rPr>
          <w:sz w:val="22"/>
          <w:szCs w:val="22"/>
        </w:rPr>
        <w:t xml:space="preserve"> to maintain an accurate register of ‘at risk’ personnel.</w:t>
      </w:r>
    </w:p>
    <w:p w:rsidR="008D37E5" w:rsidRPr="00A0723F" w:rsidRDefault="008D37E5" w:rsidP="00EE21A3">
      <w:pPr>
        <w:jc w:val="both"/>
        <w:rPr>
          <w:sz w:val="22"/>
          <w:szCs w:val="22"/>
        </w:rPr>
      </w:pPr>
    </w:p>
    <w:p w:rsidR="008D37E5" w:rsidRPr="00A0723F" w:rsidRDefault="003710DD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8.6 For e</w:t>
      </w:r>
      <w:r w:rsidR="00D138D6" w:rsidRPr="00A0723F">
        <w:rPr>
          <w:sz w:val="22"/>
          <w:szCs w:val="22"/>
        </w:rPr>
        <w:t>mployees at high risk, u</w:t>
      </w:r>
      <w:r w:rsidR="008D37E5" w:rsidRPr="00A0723F">
        <w:rPr>
          <w:sz w:val="22"/>
          <w:szCs w:val="22"/>
        </w:rPr>
        <w:t>nless there are medi</w:t>
      </w:r>
      <w:r w:rsidR="00570418">
        <w:rPr>
          <w:sz w:val="22"/>
          <w:szCs w:val="22"/>
        </w:rPr>
        <w:t>cal reasons to the contrary, Oxford Brookes University</w:t>
      </w:r>
      <w:r w:rsidR="008D37E5" w:rsidRPr="00A0723F">
        <w:rPr>
          <w:sz w:val="22"/>
          <w:szCs w:val="22"/>
        </w:rPr>
        <w:t xml:space="preserve"> will normally require evidence of immunity to Hepatitis B.</w:t>
      </w:r>
    </w:p>
    <w:p w:rsidR="008D37E5" w:rsidRPr="00A0723F" w:rsidRDefault="008D37E5" w:rsidP="00EE21A3">
      <w:pPr>
        <w:jc w:val="both"/>
        <w:rPr>
          <w:sz w:val="22"/>
          <w:szCs w:val="22"/>
        </w:rPr>
      </w:pPr>
    </w:p>
    <w:p w:rsidR="008D37E5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8.7 For employees at moderate to low risk i</w:t>
      </w:r>
      <w:r w:rsidR="008D37E5" w:rsidRPr="00A0723F">
        <w:rPr>
          <w:sz w:val="22"/>
          <w:szCs w:val="22"/>
        </w:rPr>
        <w:t>mmunisation will be recommended but will not be compulsory.</w:t>
      </w:r>
    </w:p>
    <w:p w:rsidR="008D37E5" w:rsidRPr="00A0723F" w:rsidRDefault="008D37E5" w:rsidP="00EE21A3">
      <w:pPr>
        <w:jc w:val="both"/>
        <w:rPr>
          <w:sz w:val="22"/>
          <w:szCs w:val="22"/>
        </w:rPr>
      </w:pPr>
    </w:p>
    <w:p w:rsidR="008D37E5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8.8 For employees with no risk i</w:t>
      </w:r>
      <w:r w:rsidR="008D37E5" w:rsidRPr="00A0723F">
        <w:rPr>
          <w:sz w:val="22"/>
          <w:szCs w:val="22"/>
        </w:rPr>
        <w:t>mmunisation will not be advised.</w:t>
      </w:r>
    </w:p>
    <w:p w:rsidR="008D37E5" w:rsidRPr="00A0723F" w:rsidRDefault="008D37E5" w:rsidP="00EE21A3">
      <w:pPr>
        <w:jc w:val="both"/>
        <w:rPr>
          <w:sz w:val="22"/>
          <w:szCs w:val="22"/>
        </w:rPr>
      </w:pPr>
    </w:p>
    <w:p w:rsidR="008D37E5" w:rsidRPr="00A0723F" w:rsidRDefault="00F8142F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8.9</w:t>
      </w:r>
      <w:r w:rsidR="00C375E1" w:rsidRPr="00A0723F">
        <w:rPr>
          <w:sz w:val="22"/>
          <w:szCs w:val="22"/>
        </w:rPr>
        <w:t xml:space="preserve"> </w:t>
      </w:r>
      <w:r w:rsidR="008D37E5" w:rsidRPr="00A0723F">
        <w:rPr>
          <w:sz w:val="22"/>
          <w:szCs w:val="22"/>
        </w:rPr>
        <w:t>For those employees who also hold Honor</w:t>
      </w:r>
      <w:r w:rsidR="00BC0FC8" w:rsidRPr="00A0723F">
        <w:rPr>
          <w:sz w:val="22"/>
          <w:szCs w:val="22"/>
        </w:rPr>
        <w:t>ar</w:t>
      </w:r>
      <w:r w:rsidR="008D37E5" w:rsidRPr="00A0723F">
        <w:rPr>
          <w:sz w:val="22"/>
          <w:szCs w:val="22"/>
        </w:rPr>
        <w:t>y NHS contracts, that aspect of their employment will continue to be</w:t>
      </w:r>
      <w:r w:rsidR="00570418">
        <w:rPr>
          <w:sz w:val="22"/>
          <w:szCs w:val="22"/>
        </w:rPr>
        <w:t xml:space="preserve"> determined by the Hepatitis B P</w:t>
      </w:r>
      <w:r w:rsidR="008D37E5" w:rsidRPr="00A0723F">
        <w:rPr>
          <w:sz w:val="22"/>
          <w:szCs w:val="22"/>
        </w:rPr>
        <w:t>o</w:t>
      </w:r>
      <w:r w:rsidR="00C375E1" w:rsidRPr="00A0723F">
        <w:rPr>
          <w:sz w:val="22"/>
          <w:szCs w:val="22"/>
        </w:rPr>
        <w:t>licy in the NHS Trust concerned</w:t>
      </w:r>
      <w:r w:rsidR="008D37E5" w:rsidRPr="00A0723F">
        <w:rPr>
          <w:sz w:val="22"/>
          <w:szCs w:val="22"/>
        </w:rPr>
        <w:t>.</w:t>
      </w:r>
    </w:p>
    <w:p w:rsidR="003F2E0B" w:rsidRPr="00A0723F" w:rsidRDefault="003F2E0B" w:rsidP="00EE21A3">
      <w:pPr>
        <w:jc w:val="both"/>
        <w:rPr>
          <w:sz w:val="22"/>
          <w:szCs w:val="22"/>
        </w:rPr>
      </w:pPr>
    </w:p>
    <w:p w:rsidR="00D138D6" w:rsidRPr="00A0723F" w:rsidRDefault="00D138D6" w:rsidP="00EE21A3">
      <w:pPr>
        <w:jc w:val="both"/>
        <w:rPr>
          <w:b/>
          <w:sz w:val="22"/>
          <w:szCs w:val="22"/>
        </w:rPr>
      </w:pPr>
    </w:p>
    <w:p w:rsidR="00BC0FC8" w:rsidRPr="00A0723F" w:rsidRDefault="001D47B1" w:rsidP="00EE21A3">
      <w:pPr>
        <w:jc w:val="both"/>
        <w:rPr>
          <w:b/>
          <w:sz w:val="22"/>
          <w:szCs w:val="22"/>
        </w:rPr>
      </w:pPr>
      <w:r w:rsidRPr="00A0723F">
        <w:rPr>
          <w:b/>
          <w:sz w:val="22"/>
          <w:szCs w:val="22"/>
        </w:rPr>
        <w:t>9.</w:t>
      </w:r>
      <w:r w:rsidR="00BC0FC8" w:rsidRPr="00A0723F">
        <w:rPr>
          <w:b/>
          <w:sz w:val="22"/>
          <w:szCs w:val="22"/>
        </w:rPr>
        <w:t xml:space="preserve"> Policy Implementation</w:t>
      </w:r>
    </w:p>
    <w:p w:rsidR="003F2E0B" w:rsidRPr="00A0723F" w:rsidRDefault="003F2E0B" w:rsidP="00EE21A3">
      <w:pPr>
        <w:jc w:val="both"/>
        <w:rPr>
          <w:b/>
          <w:sz w:val="22"/>
          <w:szCs w:val="22"/>
        </w:rPr>
      </w:pPr>
    </w:p>
    <w:p w:rsidR="00BC0FC8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9.1 </w:t>
      </w:r>
      <w:r w:rsidR="00BC0FC8" w:rsidRPr="00A0723F">
        <w:rPr>
          <w:sz w:val="22"/>
          <w:szCs w:val="22"/>
        </w:rPr>
        <w:t>On</w:t>
      </w:r>
      <w:r w:rsidRPr="00A0723F">
        <w:rPr>
          <w:sz w:val="22"/>
          <w:szCs w:val="22"/>
        </w:rPr>
        <w:t>ce iden</w:t>
      </w:r>
      <w:r w:rsidR="007966BA" w:rsidRPr="00A0723F">
        <w:rPr>
          <w:sz w:val="22"/>
          <w:szCs w:val="22"/>
        </w:rPr>
        <w:t>tified as being at high risk O</w:t>
      </w:r>
      <w:r w:rsidR="00570418">
        <w:rPr>
          <w:sz w:val="22"/>
          <w:szCs w:val="22"/>
        </w:rPr>
        <w:t xml:space="preserve">ccupational </w:t>
      </w:r>
      <w:r w:rsidR="007966BA" w:rsidRPr="00A0723F">
        <w:rPr>
          <w:sz w:val="22"/>
          <w:szCs w:val="22"/>
        </w:rPr>
        <w:t>H</w:t>
      </w:r>
      <w:r w:rsidR="00570418">
        <w:rPr>
          <w:sz w:val="22"/>
          <w:szCs w:val="22"/>
        </w:rPr>
        <w:t>ealth</w:t>
      </w:r>
      <w:r w:rsidRPr="00A0723F">
        <w:rPr>
          <w:sz w:val="22"/>
          <w:szCs w:val="22"/>
        </w:rPr>
        <w:t xml:space="preserve"> will contact </w:t>
      </w:r>
      <w:r w:rsidR="00BC0FC8" w:rsidRPr="00A0723F">
        <w:rPr>
          <w:sz w:val="22"/>
          <w:szCs w:val="22"/>
        </w:rPr>
        <w:t>employees</w:t>
      </w:r>
      <w:r w:rsidR="0076173F" w:rsidRPr="00A0723F">
        <w:rPr>
          <w:sz w:val="22"/>
          <w:szCs w:val="22"/>
        </w:rPr>
        <w:t>/students</w:t>
      </w:r>
      <w:r w:rsidR="00BC0FC8" w:rsidRPr="00A0723F">
        <w:rPr>
          <w:sz w:val="22"/>
          <w:szCs w:val="22"/>
        </w:rPr>
        <w:t xml:space="preserve"> either d</w:t>
      </w:r>
      <w:r w:rsidR="007421F5" w:rsidRPr="00A0723F">
        <w:rPr>
          <w:sz w:val="22"/>
          <w:szCs w:val="22"/>
        </w:rPr>
        <w:t>irectly or via their Department to arrange a review.</w:t>
      </w:r>
    </w:p>
    <w:p w:rsidR="00D138D6" w:rsidRPr="00A0723F" w:rsidRDefault="00D138D6" w:rsidP="00EE21A3">
      <w:pPr>
        <w:jc w:val="both"/>
        <w:rPr>
          <w:sz w:val="22"/>
          <w:szCs w:val="22"/>
        </w:rPr>
      </w:pPr>
    </w:p>
    <w:p w:rsidR="00BC0FC8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9.1.1 Employees</w:t>
      </w:r>
      <w:r w:rsidR="0076173F" w:rsidRPr="00A0723F">
        <w:rPr>
          <w:sz w:val="22"/>
          <w:szCs w:val="22"/>
        </w:rPr>
        <w:t>/students</w:t>
      </w:r>
      <w:r w:rsidRPr="00A0723F">
        <w:rPr>
          <w:sz w:val="22"/>
          <w:szCs w:val="22"/>
        </w:rPr>
        <w:t xml:space="preserve"> who</w:t>
      </w:r>
      <w:r w:rsidR="00BC0FC8" w:rsidRPr="00A0723F">
        <w:rPr>
          <w:sz w:val="22"/>
          <w:szCs w:val="22"/>
        </w:rPr>
        <w:t xml:space="preserve"> do not have evidence of current immunity against Hepatitis B will be referred to </w:t>
      </w:r>
      <w:r w:rsidR="003710DD" w:rsidRPr="00A0723F">
        <w:rPr>
          <w:sz w:val="22"/>
          <w:szCs w:val="22"/>
        </w:rPr>
        <w:t xml:space="preserve">the Medical Centre (part of </w:t>
      </w:r>
      <w:r w:rsidR="00BC0FC8" w:rsidRPr="00A0723F">
        <w:rPr>
          <w:sz w:val="22"/>
          <w:szCs w:val="22"/>
        </w:rPr>
        <w:t xml:space="preserve">St </w:t>
      </w:r>
      <w:r w:rsidR="00976706" w:rsidRPr="00A0723F">
        <w:rPr>
          <w:sz w:val="22"/>
          <w:szCs w:val="22"/>
        </w:rPr>
        <w:t>Bartholomew’s</w:t>
      </w:r>
      <w:r w:rsidR="00BC0FC8" w:rsidRPr="00A0723F">
        <w:rPr>
          <w:sz w:val="22"/>
          <w:szCs w:val="22"/>
        </w:rPr>
        <w:t xml:space="preserve"> Health Centre</w:t>
      </w:r>
      <w:r w:rsidR="003710DD" w:rsidRPr="00A0723F">
        <w:rPr>
          <w:sz w:val="22"/>
          <w:szCs w:val="22"/>
        </w:rPr>
        <w:t>)</w:t>
      </w:r>
      <w:r w:rsidR="00BC0FC8" w:rsidRPr="00A0723F">
        <w:rPr>
          <w:sz w:val="22"/>
          <w:szCs w:val="22"/>
        </w:rPr>
        <w:t xml:space="preserve"> for immunisation or serological testing; whichever is deemed appropriate.</w:t>
      </w:r>
    </w:p>
    <w:p w:rsidR="00D138D6" w:rsidRPr="00A0723F" w:rsidRDefault="00D138D6" w:rsidP="00EE21A3">
      <w:pPr>
        <w:jc w:val="both"/>
        <w:rPr>
          <w:sz w:val="22"/>
          <w:szCs w:val="22"/>
        </w:rPr>
      </w:pPr>
    </w:p>
    <w:p w:rsidR="00BC0FC8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9.1.2 O</w:t>
      </w:r>
      <w:r w:rsidR="00570418">
        <w:rPr>
          <w:sz w:val="22"/>
          <w:szCs w:val="22"/>
        </w:rPr>
        <w:t xml:space="preserve">ccupational </w:t>
      </w:r>
      <w:r w:rsidRPr="00A0723F">
        <w:rPr>
          <w:sz w:val="22"/>
          <w:szCs w:val="22"/>
        </w:rPr>
        <w:t>H</w:t>
      </w:r>
      <w:r w:rsidR="00570418">
        <w:rPr>
          <w:sz w:val="22"/>
          <w:szCs w:val="22"/>
        </w:rPr>
        <w:t>ealth</w:t>
      </w:r>
      <w:r w:rsidR="00BC0FC8" w:rsidRPr="00A0723F">
        <w:rPr>
          <w:sz w:val="22"/>
          <w:szCs w:val="22"/>
        </w:rPr>
        <w:t xml:space="preserve"> will maintain appropri</w:t>
      </w:r>
      <w:r w:rsidR="003710DD" w:rsidRPr="00A0723F">
        <w:rPr>
          <w:sz w:val="22"/>
          <w:szCs w:val="22"/>
        </w:rPr>
        <w:t xml:space="preserve">ate records </w:t>
      </w:r>
      <w:r w:rsidR="00BC0FC8" w:rsidRPr="00A0723F">
        <w:rPr>
          <w:sz w:val="22"/>
          <w:szCs w:val="22"/>
        </w:rPr>
        <w:t>and will notify individuals if any subsequent booster vaccinations or serological testing is required.</w:t>
      </w:r>
    </w:p>
    <w:p w:rsidR="00D138D6" w:rsidRPr="00A0723F" w:rsidRDefault="00D138D6" w:rsidP="00EE21A3">
      <w:pPr>
        <w:jc w:val="both"/>
        <w:rPr>
          <w:sz w:val="22"/>
          <w:szCs w:val="22"/>
        </w:rPr>
      </w:pPr>
    </w:p>
    <w:p w:rsidR="007421F5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9.1.3 I</w:t>
      </w:r>
      <w:r w:rsidR="007421F5" w:rsidRPr="00A0723F">
        <w:rPr>
          <w:sz w:val="22"/>
          <w:szCs w:val="22"/>
        </w:rPr>
        <w:t>t should be noted that all successful app</w:t>
      </w:r>
      <w:r w:rsidR="003710DD" w:rsidRPr="00A0723F">
        <w:rPr>
          <w:sz w:val="22"/>
          <w:szCs w:val="22"/>
        </w:rPr>
        <w:t>licants to posts designated as high r</w:t>
      </w:r>
      <w:r w:rsidR="007421F5" w:rsidRPr="00A0723F">
        <w:rPr>
          <w:sz w:val="22"/>
          <w:szCs w:val="22"/>
        </w:rPr>
        <w:t xml:space="preserve">isk would normally be required to demonstrate adequate immunity to Hepatitis </w:t>
      </w:r>
      <w:r w:rsidRPr="00A0723F">
        <w:rPr>
          <w:sz w:val="22"/>
          <w:szCs w:val="22"/>
        </w:rPr>
        <w:t>B, as a condition of employment</w:t>
      </w:r>
      <w:r w:rsidR="007421F5" w:rsidRPr="00A0723F">
        <w:rPr>
          <w:sz w:val="22"/>
          <w:szCs w:val="22"/>
        </w:rPr>
        <w:t>.</w:t>
      </w:r>
    </w:p>
    <w:p w:rsidR="007421F5" w:rsidRPr="00A0723F" w:rsidRDefault="007421F5" w:rsidP="00EE21A3">
      <w:pPr>
        <w:jc w:val="both"/>
        <w:rPr>
          <w:sz w:val="22"/>
          <w:szCs w:val="22"/>
        </w:rPr>
      </w:pPr>
    </w:p>
    <w:p w:rsidR="007421F5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9.2 E</w:t>
      </w:r>
      <w:r w:rsidR="00633510" w:rsidRPr="00A0723F">
        <w:rPr>
          <w:sz w:val="22"/>
          <w:szCs w:val="22"/>
        </w:rPr>
        <w:t>mployees</w:t>
      </w:r>
      <w:r w:rsidR="0076173F" w:rsidRPr="00A0723F">
        <w:rPr>
          <w:sz w:val="22"/>
          <w:szCs w:val="22"/>
        </w:rPr>
        <w:t>/s</w:t>
      </w:r>
      <w:r w:rsidR="003108ED" w:rsidRPr="00A0723F">
        <w:rPr>
          <w:sz w:val="22"/>
          <w:szCs w:val="22"/>
        </w:rPr>
        <w:t>t</w:t>
      </w:r>
      <w:r w:rsidR="0076173F" w:rsidRPr="00A0723F">
        <w:rPr>
          <w:sz w:val="22"/>
          <w:szCs w:val="22"/>
        </w:rPr>
        <w:t>udents</w:t>
      </w:r>
      <w:r w:rsidR="00633510" w:rsidRPr="00A0723F">
        <w:rPr>
          <w:sz w:val="22"/>
          <w:szCs w:val="22"/>
        </w:rPr>
        <w:t xml:space="preserve"> </w:t>
      </w:r>
      <w:r w:rsidRPr="00A0723F">
        <w:rPr>
          <w:sz w:val="22"/>
          <w:szCs w:val="22"/>
        </w:rPr>
        <w:t xml:space="preserve">identified as moderate to low risk </w:t>
      </w:r>
      <w:r w:rsidR="007421F5" w:rsidRPr="00A0723F">
        <w:rPr>
          <w:sz w:val="22"/>
          <w:szCs w:val="22"/>
        </w:rPr>
        <w:t xml:space="preserve">will be contacted </w:t>
      </w:r>
      <w:r w:rsidR="00633510" w:rsidRPr="00A0723F">
        <w:rPr>
          <w:sz w:val="22"/>
          <w:szCs w:val="22"/>
        </w:rPr>
        <w:t>by O</w:t>
      </w:r>
      <w:r w:rsidR="00032408">
        <w:rPr>
          <w:sz w:val="22"/>
          <w:szCs w:val="22"/>
        </w:rPr>
        <w:t xml:space="preserve">ccupational </w:t>
      </w:r>
      <w:r w:rsidR="00633510" w:rsidRPr="00A0723F">
        <w:rPr>
          <w:sz w:val="22"/>
          <w:szCs w:val="22"/>
        </w:rPr>
        <w:t>H</w:t>
      </w:r>
      <w:r w:rsidR="00032408">
        <w:rPr>
          <w:sz w:val="22"/>
          <w:szCs w:val="22"/>
        </w:rPr>
        <w:t>ealth</w:t>
      </w:r>
      <w:r w:rsidR="00633510" w:rsidRPr="00A0723F">
        <w:rPr>
          <w:sz w:val="22"/>
          <w:szCs w:val="22"/>
        </w:rPr>
        <w:t xml:space="preserve"> </w:t>
      </w:r>
      <w:r w:rsidR="007421F5" w:rsidRPr="00A0723F">
        <w:rPr>
          <w:sz w:val="22"/>
          <w:szCs w:val="22"/>
        </w:rPr>
        <w:t>either directl</w:t>
      </w:r>
      <w:r w:rsidR="00633510" w:rsidRPr="00A0723F">
        <w:rPr>
          <w:sz w:val="22"/>
          <w:szCs w:val="22"/>
        </w:rPr>
        <w:t>y or via their Department</w:t>
      </w:r>
      <w:r w:rsidR="007421F5" w:rsidRPr="00A0723F">
        <w:rPr>
          <w:sz w:val="22"/>
          <w:szCs w:val="22"/>
        </w:rPr>
        <w:t xml:space="preserve"> to arrange a review appointment.</w:t>
      </w:r>
    </w:p>
    <w:p w:rsidR="00633510" w:rsidRPr="00A0723F" w:rsidRDefault="00633510" w:rsidP="00EE21A3">
      <w:pPr>
        <w:jc w:val="both"/>
        <w:rPr>
          <w:sz w:val="22"/>
          <w:szCs w:val="22"/>
        </w:rPr>
      </w:pPr>
    </w:p>
    <w:p w:rsidR="00D90969" w:rsidRPr="00A0723F" w:rsidRDefault="00633510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 9.2.1 </w:t>
      </w:r>
      <w:r w:rsidR="007421F5" w:rsidRPr="00A0723F">
        <w:rPr>
          <w:sz w:val="22"/>
          <w:szCs w:val="22"/>
        </w:rPr>
        <w:t>Although strongly advised, vaccination and subsequent serology will be advisory and not compulsory</w:t>
      </w:r>
      <w:r w:rsidR="003710DD" w:rsidRPr="00A0723F">
        <w:rPr>
          <w:sz w:val="22"/>
          <w:szCs w:val="22"/>
        </w:rPr>
        <w:t xml:space="preserve"> for those employees and students identified in the moderate or low risk category</w:t>
      </w:r>
      <w:r w:rsidR="007421F5" w:rsidRPr="00A0723F">
        <w:rPr>
          <w:sz w:val="22"/>
          <w:szCs w:val="22"/>
        </w:rPr>
        <w:t>.</w:t>
      </w:r>
      <w:r w:rsidRPr="00A0723F">
        <w:rPr>
          <w:sz w:val="22"/>
          <w:szCs w:val="22"/>
        </w:rPr>
        <w:t xml:space="preserve"> </w:t>
      </w:r>
      <w:r w:rsidR="00D90969" w:rsidRPr="00A0723F">
        <w:rPr>
          <w:sz w:val="22"/>
          <w:szCs w:val="22"/>
        </w:rPr>
        <w:t xml:space="preserve">If </w:t>
      </w:r>
      <w:r w:rsidR="00A55E30" w:rsidRPr="00A0723F">
        <w:rPr>
          <w:sz w:val="22"/>
          <w:szCs w:val="22"/>
        </w:rPr>
        <w:t>the employee wishes to take up H</w:t>
      </w:r>
      <w:r w:rsidR="00D90969" w:rsidRPr="00A0723F">
        <w:rPr>
          <w:sz w:val="22"/>
          <w:szCs w:val="22"/>
        </w:rPr>
        <w:t>epati</w:t>
      </w:r>
      <w:r w:rsidR="00A55E30" w:rsidRPr="00A0723F">
        <w:rPr>
          <w:sz w:val="22"/>
          <w:szCs w:val="22"/>
        </w:rPr>
        <w:t>ti</w:t>
      </w:r>
      <w:r w:rsidR="00D90969" w:rsidRPr="00A0723F">
        <w:rPr>
          <w:sz w:val="22"/>
          <w:szCs w:val="22"/>
        </w:rPr>
        <w:t xml:space="preserve">s B vaccination </w:t>
      </w:r>
      <w:r w:rsidR="003710DD" w:rsidRPr="00A0723F">
        <w:rPr>
          <w:sz w:val="22"/>
          <w:szCs w:val="22"/>
        </w:rPr>
        <w:t xml:space="preserve">will be referred to the Medical Centre by </w:t>
      </w:r>
      <w:r w:rsidR="00032408">
        <w:rPr>
          <w:sz w:val="22"/>
          <w:szCs w:val="22"/>
        </w:rPr>
        <w:t xml:space="preserve">Brookes </w:t>
      </w:r>
      <w:r w:rsidR="003710DD" w:rsidRPr="00A0723F">
        <w:rPr>
          <w:sz w:val="22"/>
          <w:szCs w:val="22"/>
        </w:rPr>
        <w:t>O</w:t>
      </w:r>
      <w:r w:rsidR="00032408">
        <w:rPr>
          <w:sz w:val="22"/>
          <w:szCs w:val="22"/>
        </w:rPr>
        <w:t xml:space="preserve">ccupational </w:t>
      </w:r>
      <w:r w:rsidR="003710DD" w:rsidRPr="00A0723F">
        <w:rPr>
          <w:sz w:val="22"/>
          <w:szCs w:val="22"/>
        </w:rPr>
        <w:t>H</w:t>
      </w:r>
      <w:r w:rsidR="00032408">
        <w:rPr>
          <w:sz w:val="22"/>
          <w:szCs w:val="22"/>
        </w:rPr>
        <w:t>ealth</w:t>
      </w:r>
      <w:r w:rsidR="003710DD" w:rsidRPr="00A0723F">
        <w:rPr>
          <w:sz w:val="22"/>
          <w:szCs w:val="22"/>
        </w:rPr>
        <w:t xml:space="preserve"> in line with the agreed protocol</w:t>
      </w:r>
      <w:r w:rsidR="00D90969" w:rsidRPr="00A0723F">
        <w:rPr>
          <w:sz w:val="22"/>
          <w:szCs w:val="22"/>
        </w:rPr>
        <w:t>.</w:t>
      </w:r>
    </w:p>
    <w:p w:rsidR="00633510" w:rsidRPr="00A0723F" w:rsidRDefault="00633510" w:rsidP="00EE21A3">
      <w:pPr>
        <w:jc w:val="both"/>
        <w:rPr>
          <w:sz w:val="22"/>
          <w:szCs w:val="22"/>
        </w:rPr>
      </w:pPr>
    </w:p>
    <w:p w:rsidR="007421F5" w:rsidRPr="00A0723F" w:rsidRDefault="00633510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9.2.2 </w:t>
      </w:r>
      <w:r w:rsidR="007421F5" w:rsidRPr="00A0723F">
        <w:rPr>
          <w:sz w:val="22"/>
          <w:szCs w:val="22"/>
        </w:rPr>
        <w:t>Staff with honorary NHS contracts and those at risk from contracting Hepatitis B as a direct consequence of those contracts will continue to be subject to t</w:t>
      </w:r>
      <w:r w:rsidR="00D138D6" w:rsidRPr="00A0723F">
        <w:rPr>
          <w:sz w:val="22"/>
          <w:szCs w:val="22"/>
        </w:rPr>
        <w:t xml:space="preserve">he NHS </w:t>
      </w:r>
      <w:r w:rsidR="000D0164" w:rsidRPr="00A0723F">
        <w:rPr>
          <w:sz w:val="22"/>
          <w:szCs w:val="22"/>
        </w:rPr>
        <w:t xml:space="preserve">John Radcliffe Hospital NHS </w:t>
      </w:r>
      <w:r w:rsidR="00D138D6" w:rsidRPr="00A0723F">
        <w:rPr>
          <w:sz w:val="22"/>
          <w:szCs w:val="22"/>
        </w:rPr>
        <w:t>Trust Hepatitis B Policy</w:t>
      </w:r>
      <w:r w:rsidR="007421F5" w:rsidRPr="00A0723F">
        <w:rPr>
          <w:sz w:val="22"/>
          <w:szCs w:val="22"/>
        </w:rPr>
        <w:t>.</w:t>
      </w:r>
    </w:p>
    <w:p w:rsidR="007421F5" w:rsidRPr="00A0723F" w:rsidRDefault="007421F5" w:rsidP="00EE21A3">
      <w:pPr>
        <w:jc w:val="both"/>
        <w:rPr>
          <w:sz w:val="22"/>
          <w:szCs w:val="22"/>
        </w:rPr>
      </w:pPr>
    </w:p>
    <w:p w:rsidR="007421F5" w:rsidRPr="00A0723F" w:rsidRDefault="00633510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lastRenderedPageBreak/>
        <w:t xml:space="preserve">9.2.3 </w:t>
      </w:r>
      <w:r w:rsidR="003710DD" w:rsidRPr="00A0723F">
        <w:rPr>
          <w:sz w:val="22"/>
          <w:szCs w:val="22"/>
        </w:rPr>
        <w:t>O</w:t>
      </w:r>
      <w:r w:rsidR="00570418">
        <w:rPr>
          <w:sz w:val="22"/>
          <w:szCs w:val="22"/>
        </w:rPr>
        <w:t xml:space="preserve">ccupational </w:t>
      </w:r>
      <w:r w:rsidR="003710DD" w:rsidRPr="00A0723F">
        <w:rPr>
          <w:sz w:val="22"/>
          <w:szCs w:val="22"/>
        </w:rPr>
        <w:t>H</w:t>
      </w:r>
      <w:r w:rsidR="00570418">
        <w:rPr>
          <w:sz w:val="22"/>
          <w:szCs w:val="22"/>
        </w:rPr>
        <w:t>ealth</w:t>
      </w:r>
      <w:r w:rsidR="007421F5" w:rsidRPr="00A0723F">
        <w:rPr>
          <w:sz w:val="22"/>
          <w:szCs w:val="22"/>
        </w:rPr>
        <w:t xml:space="preserve"> will maintain appropriate </w:t>
      </w:r>
      <w:r w:rsidR="006A7280" w:rsidRPr="00A0723F">
        <w:rPr>
          <w:sz w:val="22"/>
          <w:szCs w:val="22"/>
        </w:rPr>
        <w:t xml:space="preserve">record </w:t>
      </w:r>
      <w:r w:rsidR="007421F5" w:rsidRPr="00A0723F">
        <w:rPr>
          <w:sz w:val="22"/>
          <w:szCs w:val="22"/>
        </w:rPr>
        <w:t>documentation</w:t>
      </w:r>
      <w:r w:rsidR="006A7280" w:rsidRPr="00A0723F">
        <w:rPr>
          <w:sz w:val="22"/>
          <w:szCs w:val="22"/>
        </w:rPr>
        <w:t xml:space="preserve"> of the individual’s immune status and note any decision to refuse immunisation.</w:t>
      </w:r>
    </w:p>
    <w:p w:rsidR="006A7280" w:rsidRPr="00A0723F" w:rsidRDefault="006A7280" w:rsidP="00EE21A3">
      <w:pPr>
        <w:jc w:val="both"/>
        <w:rPr>
          <w:sz w:val="22"/>
          <w:szCs w:val="22"/>
        </w:rPr>
      </w:pPr>
    </w:p>
    <w:p w:rsidR="006A7280" w:rsidRPr="00A0723F" w:rsidRDefault="00633510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9.2.4 Any employee</w:t>
      </w:r>
      <w:r w:rsidR="0076173F" w:rsidRPr="00A0723F">
        <w:rPr>
          <w:sz w:val="22"/>
          <w:szCs w:val="22"/>
        </w:rPr>
        <w:t>/student</w:t>
      </w:r>
      <w:r w:rsidR="006A7280" w:rsidRPr="00A0723F">
        <w:rPr>
          <w:sz w:val="22"/>
          <w:szCs w:val="22"/>
        </w:rPr>
        <w:t xml:space="preserve"> classified in this group who is involved in a potential contamina</w:t>
      </w:r>
      <w:r w:rsidR="003710DD" w:rsidRPr="00A0723F">
        <w:rPr>
          <w:sz w:val="22"/>
          <w:szCs w:val="22"/>
        </w:rPr>
        <w:t>tion incident should contact OH</w:t>
      </w:r>
      <w:r w:rsidR="006A7280" w:rsidRPr="00A0723F">
        <w:rPr>
          <w:sz w:val="22"/>
          <w:szCs w:val="22"/>
        </w:rPr>
        <w:t xml:space="preserve"> as soon as possible so that po</w:t>
      </w:r>
      <w:r w:rsidR="00D90969" w:rsidRPr="00A0723F">
        <w:rPr>
          <w:sz w:val="22"/>
          <w:szCs w:val="22"/>
        </w:rPr>
        <w:t>s</w:t>
      </w:r>
      <w:r w:rsidR="006A7280" w:rsidRPr="00A0723F">
        <w:rPr>
          <w:sz w:val="22"/>
          <w:szCs w:val="22"/>
        </w:rPr>
        <w:t>t-exposure vaccination may be considered.</w:t>
      </w:r>
    </w:p>
    <w:p w:rsidR="006A7280" w:rsidRPr="00A0723F" w:rsidRDefault="006A7280" w:rsidP="00EE21A3">
      <w:pPr>
        <w:jc w:val="both"/>
        <w:rPr>
          <w:sz w:val="22"/>
          <w:szCs w:val="22"/>
        </w:rPr>
      </w:pPr>
    </w:p>
    <w:p w:rsidR="006A7280" w:rsidRPr="00A0723F" w:rsidRDefault="00D138D6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>9.3 P</w:t>
      </w:r>
      <w:r w:rsidR="006A7280" w:rsidRPr="00A0723F">
        <w:rPr>
          <w:sz w:val="22"/>
          <w:szCs w:val="22"/>
        </w:rPr>
        <w:t xml:space="preserve">rophylactic Hepatitis B vaccination </w:t>
      </w:r>
      <w:r w:rsidRPr="00A0723F">
        <w:rPr>
          <w:sz w:val="22"/>
          <w:szCs w:val="22"/>
        </w:rPr>
        <w:t xml:space="preserve">is not considered </w:t>
      </w:r>
      <w:r w:rsidR="006A7280" w:rsidRPr="00A0723F">
        <w:rPr>
          <w:sz w:val="22"/>
          <w:szCs w:val="22"/>
        </w:rPr>
        <w:t xml:space="preserve">necessary for </w:t>
      </w:r>
      <w:r w:rsidRPr="00A0723F">
        <w:rPr>
          <w:sz w:val="22"/>
          <w:szCs w:val="22"/>
        </w:rPr>
        <w:t>employees where there are no normal risks</w:t>
      </w:r>
      <w:r w:rsidR="006A7280" w:rsidRPr="00A0723F">
        <w:rPr>
          <w:sz w:val="22"/>
          <w:szCs w:val="22"/>
        </w:rPr>
        <w:t>.</w:t>
      </w:r>
    </w:p>
    <w:p w:rsidR="001D6DAB" w:rsidRPr="00A0723F" w:rsidRDefault="001D6DAB" w:rsidP="00EE21A3">
      <w:pPr>
        <w:jc w:val="both"/>
        <w:rPr>
          <w:sz w:val="22"/>
          <w:szCs w:val="22"/>
        </w:rPr>
      </w:pPr>
    </w:p>
    <w:p w:rsidR="001D6DAB" w:rsidRPr="00A0723F" w:rsidRDefault="001D6DAB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9.4 </w:t>
      </w:r>
      <w:r w:rsidR="00570418">
        <w:rPr>
          <w:sz w:val="22"/>
          <w:szCs w:val="22"/>
        </w:rPr>
        <w:t>The University</w:t>
      </w:r>
      <w:r w:rsidRPr="00A0723F">
        <w:rPr>
          <w:sz w:val="22"/>
          <w:szCs w:val="22"/>
        </w:rPr>
        <w:t xml:space="preserve"> recognises that a proportion of recipients fail to develop an adequate immune response after a primary course of Hepatitis B vaccine.</w:t>
      </w:r>
      <w:r w:rsidR="00633510" w:rsidRPr="00A0723F">
        <w:rPr>
          <w:sz w:val="22"/>
          <w:szCs w:val="22"/>
        </w:rPr>
        <w:t xml:space="preserve"> If this occurs it will be recommended that:</w:t>
      </w:r>
    </w:p>
    <w:p w:rsidR="00D138D6" w:rsidRPr="00032408" w:rsidRDefault="00D138D6" w:rsidP="00EE21A3">
      <w:pPr>
        <w:jc w:val="both"/>
        <w:rPr>
          <w:sz w:val="16"/>
          <w:szCs w:val="16"/>
        </w:rPr>
      </w:pPr>
    </w:p>
    <w:p w:rsidR="001D6DAB" w:rsidRPr="00A0723F" w:rsidRDefault="00032408" w:rsidP="00B245E5">
      <w:pPr>
        <w:numPr>
          <w:ilvl w:val="0"/>
          <w:numId w:val="15"/>
        </w:numPr>
        <w:ind w:left="709" w:hanging="65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D6DAB" w:rsidRPr="00A0723F">
        <w:rPr>
          <w:sz w:val="22"/>
          <w:szCs w:val="22"/>
        </w:rPr>
        <w:t xml:space="preserve"> further booster dose be given; followed </w:t>
      </w:r>
      <w:r w:rsidR="00633510" w:rsidRPr="00A0723F">
        <w:rPr>
          <w:sz w:val="22"/>
          <w:szCs w:val="22"/>
        </w:rPr>
        <w:t>by serological antibody testing</w:t>
      </w:r>
      <w:r w:rsidR="00FF3EBE">
        <w:rPr>
          <w:sz w:val="22"/>
          <w:szCs w:val="22"/>
        </w:rPr>
        <w:t>.</w:t>
      </w:r>
    </w:p>
    <w:p w:rsidR="001D6DAB" w:rsidRPr="00A0723F" w:rsidRDefault="001D6DAB" w:rsidP="00B245E5">
      <w:pPr>
        <w:numPr>
          <w:ilvl w:val="0"/>
          <w:numId w:val="15"/>
        </w:numPr>
        <w:ind w:left="709" w:hanging="654"/>
        <w:jc w:val="both"/>
        <w:rPr>
          <w:sz w:val="22"/>
          <w:szCs w:val="22"/>
        </w:rPr>
      </w:pPr>
      <w:r w:rsidRPr="00A0723F">
        <w:rPr>
          <w:sz w:val="22"/>
          <w:szCs w:val="22"/>
        </w:rPr>
        <w:t>This may be extended into a second complete course if there is still an inadequate response</w:t>
      </w:r>
      <w:r w:rsidR="00C26865" w:rsidRPr="00A0723F">
        <w:rPr>
          <w:sz w:val="22"/>
          <w:szCs w:val="22"/>
        </w:rPr>
        <w:t>.</w:t>
      </w:r>
    </w:p>
    <w:p w:rsidR="00C26865" w:rsidRPr="00A0723F" w:rsidRDefault="00C26865" w:rsidP="00B245E5">
      <w:pPr>
        <w:ind w:left="709" w:hanging="654"/>
        <w:jc w:val="both"/>
        <w:rPr>
          <w:sz w:val="22"/>
          <w:szCs w:val="22"/>
        </w:rPr>
      </w:pPr>
    </w:p>
    <w:p w:rsidR="00C26865" w:rsidRPr="00A0723F" w:rsidRDefault="00633510" w:rsidP="00EE21A3">
      <w:pPr>
        <w:jc w:val="both"/>
        <w:rPr>
          <w:sz w:val="22"/>
          <w:szCs w:val="22"/>
        </w:rPr>
      </w:pPr>
      <w:r w:rsidRPr="00A0723F">
        <w:rPr>
          <w:sz w:val="22"/>
          <w:szCs w:val="22"/>
        </w:rPr>
        <w:t xml:space="preserve">9.5 </w:t>
      </w:r>
      <w:r w:rsidR="00C26865" w:rsidRPr="00A0723F">
        <w:rPr>
          <w:sz w:val="22"/>
          <w:szCs w:val="22"/>
        </w:rPr>
        <w:t>Despite this extended vaccination policy there will still be a cohor</w:t>
      </w:r>
      <w:r w:rsidRPr="00A0723F">
        <w:rPr>
          <w:sz w:val="22"/>
          <w:szCs w:val="22"/>
        </w:rPr>
        <w:t>t of ‘non-responders’.  If this is the case:</w:t>
      </w:r>
    </w:p>
    <w:p w:rsidR="00D138D6" w:rsidRPr="00032408" w:rsidRDefault="00D138D6" w:rsidP="00EE21A3">
      <w:pPr>
        <w:jc w:val="both"/>
        <w:rPr>
          <w:sz w:val="16"/>
          <w:szCs w:val="16"/>
        </w:rPr>
      </w:pPr>
    </w:p>
    <w:p w:rsidR="00C26865" w:rsidRPr="00A0723F" w:rsidRDefault="00633510" w:rsidP="00B245E5">
      <w:pPr>
        <w:numPr>
          <w:ilvl w:val="0"/>
          <w:numId w:val="16"/>
        </w:numPr>
        <w:ind w:left="709" w:hanging="709"/>
        <w:jc w:val="both"/>
        <w:rPr>
          <w:sz w:val="22"/>
          <w:szCs w:val="22"/>
        </w:rPr>
      </w:pPr>
      <w:r w:rsidRPr="00A0723F">
        <w:rPr>
          <w:sz w:val="22"/>
          <w:szCs w:val="22"/>
        </w:rPr>
        <w:t>The employee</w:t>
      </w:r>
      <w:r w:rsidR="0076173F" w:rsidRPr="00A0723F">
        <w:rPr>
          <w:sz w:val="22"/>
          <w:szCs w:val="22"/>
        </w:rPr>
        <w:t>/student</w:t>
      </w:r>
      <w:r w:rsidR="00570418">
        <w:rPr>
          <w:sz w:val="22"/>
          <w:szCs w:val="22"/>
        </w:rPr>
        <w:t xml:space="preserve"> will be seen by an Occupational </w:t>
      </w:r>
      <w:r w:rsidR="00396825" w:rsidRPr="00A0723F">
        <w:rPr>
          <w:sz w:val="22"/>
          <w:szCs w:val="22"/>
        </w:rPr>
        <w:t>H</w:t>
      </w:r>
      <w:r w:rsidR="00570418">
        <w:rPr>
          <w:sz w:val="22"/>
          <w:szCs w:val="22"/>
        </w:rPr>
        <w:t>ealth Adviser</w:t>
      </w:r>
      <w:r w:rsidR="00C26865" w:rsidRPr="00A0723F">
        <w:rPr>
          <w:sz w:val="22"/>
          <w:szCs w:val="22"/>
        </w:rPr>
        <w:t xml:space="preserve"> for a detailed review of their working practice to assess the potential for modification of those practices to reduce the risk of Hepatitis B transmission as f</w:t>
      </w:r>
      <w:r w:rsidRPr="00A0723F">
        <w:rPr>
          <w:sz w:val="22"/>
          <w:szCs w:val="22"/>
        </w:rPr>
        <w:t>ar as is reasonably practicable</w:t>
      </w:r>
      <w:r w:rsidR="00FF3EBE">
        <w:rPr>
          <w:sz w:val="22"/>
          <w:szCs w:val="22"/>
        </w:rPr>
        <w:t>.</w:t>
      </w:r>
    </w:p>
    <w:p w:rsidR="00C26865" w:rsidRPr="00A0723F" w:rsidRDefault="00032408" w:rsidP="00B245E5">
      <w:pPr>
        <w:numPr>
          <w:ilvl w:val="0"/>
          <w:numId w:val="16"/>
        </w:num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If</w:t>
      </w:r>
      <w:r w:rsidR="00C26865" w:rsidRPr="00A0723F">
        <w:rPr>
          <w:sz w:val="22"/>
          <w:szCs w:val="22"/>
        </w:rPr>
        <w:t xml:space="preserve"> this prove</w:t>
      </w:r>
      <w:r>
        <w:rPr>
          <w:sz w:val="22"/>
          <w:szCs w:val="22"/>
        </w:rPr>
        <w:t>s</w:t>
      </w:r>
      <w:r w:rsidR="00C26865" w:rsidRPr="00A0723F">
        <w:rPr>
          <w:sz w:val="22"/>
          <w:szCs w:val="22"/>
        </w:rPr>
        <w:t xml:space="preserve"> impossible, the emplo</w:t>
      </w:r>
      <w:r w:rsidR="00396825" w:rsidRPr="00A0723F">
        <w:rPr>
          <w:sz w:val="22"/>
          <w:szCs w:val="22"/>
        </w:rPr>
        <w:t>yee</w:t>
      </w:r>
      <w:r w:rsidR="0076173F" w:rsidRPr="00A0723F">
        <w:rPr>
          <w:sz w:val="22"/>
          <w:szCs w:val="22"/>
        </w:rPr>
        <w:t>/student</w:t>
      </w:r>
      <w:r w:rsidR="00396825" w:rsidRPr="00A0723F">
        <w:rPr>
          <w:sz w:val="22"/>
          <w:szCs w:val="22"/>
        </w:rPr>
        <w:t xml:space="preserve"> will be counselled by </w:t>
      </w:r>
      <w:r>
        <w:rPr>
          <w:sz w:val="22"/>
          <w:szCs w:val="22"/>
        </w:rPr>
        <w:t xml:space="preserve">an </w:t>
      </w:r>
      <w:r w:rsidR="00396825" w:rsidRPr="00A0723F">
        <w:rPr>
          <w:sz w:val="22"/>
          <w:szCs w:val="22"/>
        </w:rPr>
        <w:t>O</w:t>
      </w:r>
      <w:r w:rsidR="00B245E5">
        <w:rPr>
          <w:sz w:val="22"/>
          <w:szCs w:val="22"/>
        </w:rPr>
        <w:t>ccupational Health</w:t>
      </w:r>
      <w:r>
        <w:rPr>
          <w:sz w:val="22"/>
          <w:szCs w:val="22"/>
        </w:rPr>
        <w:t xml:space="preserve"> Adviser. </w:t>
      </w:r>
      <w:r w:rsidR="00B245E5">
        <w:rPr>
          <w:sz w:val="22"/>
          <w:szCs w:val="22"/>
        </w:rPr>
        <w:t>This includes</w:t>
      </w:r>
      <w:r w:rsidR="00C26865" w:rsidRPr="00A0723F">
        <w:rPr>
          <w:sz w:val="22"/>
          <w:szCs w:val="22"/>
        </w:rPr>
        <w:t xml:space="preserve"> </w:t>
      </w:r>
      <w:r w:rsidR="00396825" w:rsidRPr="00A0723F">
        <w:rPr>
          <w:sz w:val="22"/>
          <w:szCs w:val="22"/>
        </w:rPr>
        <w:t xml:space="preserve">action in relation to </w:t>
      </w:r>
      <w:r w:rsidR="00C26865" w:rsidRPr="00A0723F">
        <w:rPr>
          <w:sz w:val="22"/>
          <w:szCs w:val="22"/>
        </w:rPr>
        <w:t>post-contamination episodes w</w:t>
      </w:r>
      <w:r w:rsidR="00396825" w:rsidRPr="00A0723F">
        <w:rPr>
          <w:sz w:val="22"/>
          <w:szCs w:val="22"/>
        </w:rPr>
        <w:t>h</w:t>
      </w:r>
      <w:r w:rsidR="00C26865" w:rsidRPr="00A0723F">
        <w:rPr>
          <w:sz w:val="22"/>
          <w:szCs w:val="22"/>
        </w:rPr>
        <w:t>ere a post exposure va</w:t>
      </w:r>
      <w:r w:rsidR="00B245E5">
        <w:rPr>
          <w:sz w:val="22"/>
          <w:szCs w:val="22"/>
        </w:rPr>
        <w:t>ccination may be appropriate</w:t>
      </w:r>
      <w:r w:rsidR="00396825" w:rsidRPr="00A0723F">
        <w:rPr>
          <w:sz w:val="22"/>
          <w:szCs w:val="22"/>
        </w:rPr>
        <w:t xml:space="preserve">. </w:t>
      </w:r>
      <w:r w:rsidR="00C26865" w:rsidRPr="00A0723F">
        <w:rPr>
          <w:sz w:val="22"/>
          <w:szCs w:val="22"/>
        </w:rPr>
        <w:t>If the employee is fully aware of the degree of risk involved, it is expected that the employee confirm in writing that they are conversant with and accept responsib</w:t>
      </w:r>
      <w:r w:rsidR="00C375E1" w:rsidRPr="00A0723F">
        <w:rPr>
          <w:sz w:val="22"/>
          <w:szCs w:val="22"/>
        </w:rPr>
        <w:t xml:space="preserve">ility for the risk in writing. </w:t>
      </w:r>
      <w:r w:rsidR="00C26865" w:rsidRPr="00A0723F">
        <w:rPr>
          <w:sz w:val="22"/>
          <w:szCs w:val="22"/>
        </w:rPr>
        <w:t xml:space="preserve">This </w:t>
      </w:r>
      <w:r w:rsidR="00570418">
        <w:rPr>
          <w:sz w:val="22"/>
          <w:szCs w:val="22"/>
        </w:rPr>
        <w:t>decision will be notified to</w:t>
      </w:r>
      <w:r w:rsidR="00C26865" w:rsidRPr="00A0723F">
        <w:rPr>
          <w:sz w:val="22"/>
          <w:szCs w:val="22"/>
        </w:rPr>
        <w:t xml:space="preserve"> H</w:t>
      </w:r>
      <w:r w:rsidR="00C375E1" w:rsidRPr="00A0723F">
        <w:rPr>
          <w:sz w:val="22"/>
          <w:szCs w:val="22"/>
        </w:rPr>
        <w:t xml:space="preserve">uman </w:t>
      </w:r>
      <w:r w:rsidR="00C26865" w:rsidRPr="00A0723F">
        <w:rPr>
          <w:sz w:val="22"/>
          <w:szCs w:val="22"/>
        </w:rPr>
        <w:t>R</w:t>
      </w:r>
      <w:r w:rsidR="00570418">
        <w:rPr>
          <w:sz w:val="22"/>
          <w:szCs w:val="22"/>
        </w:rPr>
        <w:t xml:space="preserve">esources </w:t>
      </w:r>
      <w:r w:rsidR="0076173F" w:rsidRPr="00A0723F">
        <w:rPr>
          <w:sz w:val="22"/>
          <w:szCs w:val="22"/>
        </w:rPr>
        <w:t>and/or the relevant Department within the Faculty</w:t>
      </w:r>
      <w:r w:rsidR="00C26865" w:rsidRPr="00A0723F">
        <w:rPr>
          <w:sz w:val="22"/>
          <w:szCs w:val="22"/>
        </w:rPr>
        <w:t>.</w:t>
      </w:r>
    </w:p>
    <w:p w:rsidR="00D90969" w:rsidRPr="00A0723F" w:rsidRDefault="00C375E1" w:rsidP="007F3291">
      <w:pPr>
        <w:spacing w:before="240"/>
        <w:jc w:val="both"/>
        <w:rPr>
          <w:sz w:val="22"/>
          <w:szCs w:val="22"/>
        </w:rPr>
      </w:pPr>
      <w:r w:rsidRPr="00A0723F">
        <w:rPr>
          <w:sz w:val="22"/>
          <w:szCs w:val="22"/>
        </w:rPr>
        <w:t>9.6</w:t>
      </w:r>
      <w:r w:rsidR="00976706" w:rsidRPr="00A0723F">
        <w:rPr>
          <w:sz w:val="22"/>
          <w:szCs w:val="22"/>
        </w:rPr>
        <w:t xml:space="preserve"> </w:t>
      </w:r>
      <w:r w:rsidR="001D47B1" w:rsidRPr="00A0723F">
        <w:rPr>
          <w:sz w:val="22"/>
          <w:szCs w:val="22"/>
        </w:rPr>
        <w:t>An</w:t>
      </w:r>
      <w:r w:rsidR="00C26865" w:rsidRPr="00A0723F">
        <w:rPr>
          <w:sz w:val="22"/>
          <w:szCs w:val="22"/>
        </w:rPr>
        <w:t xml:space="preserve"> employee</w:t>
      </w:r>
      <w:r w:rsidR="0076173F" w:rsidRPr="00A0723F">
        <w:rPr>
          <w:sz w:val="22"/>
          <w:szCs w:val="22"/>
        </w:rPr>
        <w:t>/student</w:t>
      </w:r>
      <w:r w:rsidR="00C26865" w:rsidRPr="00A0723F">
        <w:rPr>
          <w:sz w:val="22"/>
          <w:szCs w:val="22"/>
        </w:rPr>
        <w:t xml:space="preserve"> who refuses immunisation and/or subsequent monito</w:t>
      </w:r>
      <w:r w:rsidR="00396825" w:rsidRPr="00A0723F">
        <w:rPr>
          <w:sz w:val="22"/>
          <w:szCs w:val="22"/>
        </w:rPr>
        <w:t>ring will be asked to attend O</w:t>
      </w:r>
      <w:r w:rsidR="00570418">
        <w:rPr>
          <w:sz w:val="22"/>
          <w:szCs w:val="22"/>
        </w:rPr>
        <w:t xml:space="preserve">ccupational </w:t>
      </w:r>
      <w:r w:rsidR="00396825" w:rsidRPr="00A0723F">
        <w:rPr>
          <w:sz w:val="22"/>
          <w:szCs w:val="22"/>
        </w:rPr>
        <w:t>H</w:t>
      </w:r>
      <w:r w:rsidR="00570418">
        <w:rPr>
          <w:sz w:val="22"/>
          <w:szCs w:val="22"/>
        </w:rPr>
        <w:t>ealth</w:t>
      </w:r>
      <w:r w:rsidR="00C26865" w:rsidRPr="00A0723F">
        <w:rPr>
          <w:sz w:val="22"/>
          <w:szCs w:val="22"/>
        </w:rPr>
        <w:t xml:space="preserve"> for a review.</w:t>
      </w:r>
      <w:r w:rsidRPr="00A0723F">
        <w:rPr>
          <w:sz w:val="22"/>
          <w:szCs w:val="22"/>
        </w:rPr>
        <w:t xml:space="preserve"> </w:t>
      </w:r>
      <w:r w:rsidR="00D90969" w:rsidRPr="00A0723F">
        <w:rPr>
          <w:sz w:val="22"/>
          <w:szCs w:val="22"/>
        </w:rPr>
        <w:t xml:space="preserve">If </w:t>
      </w:r>
      <w:r w:rsidR="00633510" w:rsidRPr="00A0723F">
        <w:rPr>
          <w:sz w:val="22"/>
          <w:szCs w:val="22"/>
        </w:rPr>
        <w:t>the employee</w:t>
      </w:r>
      <w:r w:rsidRPr="00A0723F">
        <w:rPr>
          <w:sz w:val="22"/>
          <w:szCs w:val="22"/>
        </w:rPr>
        <w:t xml:space="preserve"> </w:t>
      </w:r>
      <w:r w:rsidR="00D90969" w:rsidRPr="00A0723F">
        <w:rPr>
          <w:sz w:val="22"/>
          <w:szCs w:val="22"/>
        </w:rPr>
        <w:t>decide</w:t>
      </w:r>
      <w:r w:rsidR="00633510" w:rsidRPr="00A0723F">
        <w:rPr>
          <w:sz w:val="22"/>
          <w:szCs w:val="22"/>
        </w:rPr>
        <w:t>s</w:t>
      </w:r>
      <w:r w:rsidRPr="00A0723F">
        <w:rPr>
          <w:sz w:val="22"/>
          <w:szCs w:val="22"/>
        </w:rPr>
        <w:t xml:space="preserve"> not to take the advice and are</w:t>
      </w:r>
      <w:r w:rsidR="00633510" w:rsidRPr="00A0723F">
        <w:rPr>
          <w:sz w:val="22"/>
          <w:szCs w:val="22"/>
        </w:rPr>
        <w:t xml:space="preserve"> fully inf</w:t>
      </w:r>
      <w:r w:rsidRPr="00A0723F">
        <w:rPr>
          <w:sz w:val="22"/>
          <w:szCs w:val="22"/>
        </w:rPr>
        <w:t>ormed of the risks</w:t>
      </w:r>
      <w:r w:rsidR="00633510" w:rsidRPr="00A0723F">
        <w:rPr>
          <w:sz w:val="22"/>
          <w:szCs w:val="22"/>
        </w:rPr>
        <w:t xml:space="preserve"> t</w:t>
      </w:r>
      <w:r w:rsidR="00D90969" w:rsidRPr="00A0723F">
        <w:rPr>
          <w:sz w:val="22"/>
          <w:szCs w:val="22"/>
        </w:rPr>
        <w:t>hey will be required to sign a disclaimer which</w:t>
      </w:r>
      <w:r w:rsidR="00570418">
        <w:rPr>
          <w:sz w:val="22"/>
          <w:szCs w:val="22"/>
        </w:rPr>
        <w:t xml:space="preserve"> will then be notified to Human Resources</w:t>
      </w:r>
      <w:r w:rsidR="0076173F" w:rsidRPr="00A0723F">
        <w:rPr>
          <w:sz w:val="22"/>
          <w:szCs w:val="22"/>
        </w:rPr>
        <w:t xml:space="preserve"> and/or the relevant Department within the Faculty</w:t>
      </w:r>
      <w:r w:rsidR="00D90969" w:rsidRPr="00A0723F">
        <w:rPr>
          <w:sz w:val="22"/>
          <w:szCs w:val="22"/>
        </w:rPr>
        <w:t>.</w:t>
      </w:r>
    </w:p>
    <w:p w:rsidR="00A55E30" w:rsidRPr="00A0723F" w:rsidRDefault="00EE21A3" w:rsidP="007F3291">
      <w:pPr>
        <w:spacing w:before="240" w:after="240"/>
        <w:jc w:val="both"/>
        <w:rPr>
          <w:b/>
          <w:sz w:val="22"/>
          <w:szCs w:val="22"/>
        </w:rPr>
      </w:pPr>
      <w:r w:rsidRPr="00A0723F">
        <w:rPr>
          <w:b/>
          <w:sz w:val="22"/>
          <w:szCs w:val="22"/>
        </w:rPr>
        <w:t xml:space="preserve">10.  </w:t>
      </w:r>
      <w:r w:rsidR="00A55E30" w:rsidRPr="00A0723F">
        <w:rPr>
          <w:b/>
          <w:sz w:val="22"/>
          <w:szCs w:val="22"/>
        </w:rPr>
        <w:t>Vaccination Information</w:t>
      </w:r>
    </w:p>
    <w:p w:rsidR="00E9362D" w:rsidRPr="000927F0" w:rsidRDefault="00B94039" w:rsidP="00B245E5">
      <w:pPr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 w:rsidRPr="000927F0">
        <w:rPr>
          <w:color w:val="000000"/>
          <w:sz w:val="22"/>
          <w:szCs w:val="22"/>
        </w:rPr>
        <w:t xml:space="preserve">10.1 </w:t>
      </w:r>
      <w:r w:rsidR="00E9362D" w:rsidRPr="000927F0">
        <w:rPr>
          <w:rFonts w:cs="Arial"/>
          <w:color w:val="000000"/>
          <w:sz w:val="22"/>
          <w:szCs w:val="22"/>
          <w:shd w:val="clear" w:color="auto" w:fill="FFFFFF"/>
        </w:rPr>
        <w:t xml:space="preserve">Immunisation is </w:t>
      </w:r>
      <w:r w:rsidR="00C375E1" w:rsidRPr="000927F0">
        <w:rPr>
          <w:rFonts w:cs="Arial"/>
          <w:color w:val="000000"/>
          <w:sz w:val="22"/>
          <w:szCs w:val="22"/>
          <w:shd w:val="clear" w:color="auto" w:fill="FFFFFF"/>
        </w:rPr>
        <w:t xml:space="preserve">given </w:t>
      </w:r>
      <w:r w:rsidR="00E9362D" w:rsidRPr="000927F0">
        <w:rPr>
          <w:rFonts w:cs="Arial"/>
          <w:color w:val="000000"/>
          <w:sz w:val="22"/>
          <w:szCs w:val="22"/>
          <w:shd w:val="clear" w:color="auto" w:fill="FFFFFF"/>
        </w:rPr>
        <w:t>by intramuscular injection of a Hepa</w:t>
      </w:r>
      <w:r w:rsidR="00B245E5" w:rsidRPr="000927F0">
        <w:rPr>
          <w:rFonts w:cs="Arial"/>
          <w:color w:val="000000"/>
          <w:sz w:val="22"/>
          <w:szCs w:val="22"/>
          <w:shd w:val="clear" w:color="auto" w:fill="FFFFFF"/>
        </w:rPr>
        <w:t xml:space="preserve">titis B surface antigen </w:t>
      </w:r>
      <w:r w:rsidR="00E9362D" w:rsidRPr="000927F0">
        <w:rPr>
          <w:rFonts w:cs="Arial"/>
          <w:color w:val="000000"/>
          <w:sz w:val="22"/>
          <w:szCs w:val="22"/>
          <w:shd w:val="clear" w:color="auto" w:fill="FFFFFF"/>
        </w:rPr>
        <w:t>containing vaccine; this vaccine cannot cause the disease against which it protects.</w:t>
      </w:r>
    </w:p>
    <w:p w:rsidR="0075137A" w:rsidRPr="000927F0" w:rsidRDefault="0075137A" w:rsidP="00EE21A3">
      <w:pPr>
        <w:jc w:val="both"/>
        <w:rPr>
          <w:color w:val="000000"/>
          <w:sz w:val="22"/>
          <w:szCs w:val="22"/>
        </w:rPr>
      </w:pPr>
    </w:p>
    <w:p w:rsidR="00B94039" w:rsidRPr="000927F0" w:rsidRDefault="00C375E1" w:rsidP="00EE21A3">
      <w:pPr>
        <w:pStyle w:val="NormalWeb"/>
        <w:spacing w:line="30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927F0">
        <w:rPr>
          <w:rFonts w:ascii="Arial" w:hAnsi="Arial" w:cs="Arial"/>
          <w:color w:val="000000"/>
          <w:sz w:val="22"/>
          <w:szCs w:val="22"/>
        </w:rPr>
        <w:t xml:space="preserve">10.2 </w:t>
      </w:r>
      <w:r w:rsidR="00B94039" w:rsidRPr="000927F0">
        <w:rPr>
          <w:rFonts w:ascii="Arial" w:hAnsi="Arial" w:cs="Arial"/>
          <w:color w:val="000000"/>
          <w:sz w:val="22"/>
          <w:szCs w:val="22"/>
        </w:rPr>
        <w:t>There are several regimes available for the adminis</w:t>
      </w:r>
      <w:r w:rsidR="00B245E5" w:rsidRPr="000927F0">
        <w:rPr>
          <w:rFonts w:ascii="Arial" w:hAnsi="Arial" w:cs="Arial"/>
          <w:color w:val="000000"/>
          <w:sz w:val="22"/>
          <w:szCs w:val="22"/>
        </w:rPr>
        <w:t>tration of Hepatitis B.</w:t>
      </w:r>
      <w:r w:rsidR="00B94039" w:rsidRPr="000927F0">
        <w:rPr>
          <w:rFonts w:ascii="Arial" w:hAnsi="Arial" w:cs="Arial"/>
          <w:color w:val="000000"/>
          <w:sz w:val="22"/>
          <w:szCs w:val="22"/>
        </w:rPr>
        <w:t xml:space="preserve"> The vaccination is given by intramuscular injection into the deltoid muscle</w:t>
      </w:r>
      <w:r w:rsidR="00B245E5" w:rsidRPr="000927F0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B245E5" w:rsidRPr="000927F0">
        <w:rPr>
          <w:rFonts w:ascii="Arial" w:hAnsi="Arial" w:cs="Arial"/>
          <w:color w:val="000000"/>
          <w:sz w:val="22"/>
          <w:szCs w:val="22"/>
        </w:rPr>
        <w:t>generally at 0,1,6 months with serology being performed 2 months after the 3rd injection</w:t>
      </w:r>
      <w:r w:rsidR="00B94039" w:rsidRPr="000927F0">
        <w:rPr>
          <w:rFonts w:ascii="Arial" w:hAnsi="Arial" w:cs="Arial"/>
          <w:color w:val="000000"/>
          <w:sz w:val="22"/>
          <w:szCs w:val="22"/>
        </w:rPr>
        <w:t>; there can be some local inflammation / soreness around the site of the injection and occasionally generalised malaise, headache, flu-like symptoms.</w:t>
      </w:r>
    </w:p>
    <w:p w:rsidR="00E9362D" w:rsidRPr="000927F0" w:rsidRDefault="00C375E1" w:rsidP="00EE21A3">
      <w:pPr>
        <w:pStyle w:val="Normal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927F0">
        <w:rPr>
          <w:rFonts w:ascii="Arial" w:hAnsi="Arial" w:cs="Arial"/>
          <w:color w:val="000000"/>
          <w:sz w:val="22"/>
          <w:szCs w:val="22"/>
        </w:rPr>
        <w:t xml:space="preserve">10.4 </w:t>
      </w:r>
      <w:r w:rsidR="00B94039" w:rsidRPr="000927F0">
        <w:rPr>
          <w:rFonts w:ascii="Arial" w:hAnsi="Arial" w:cs="Arial"/>
          <w:color w:val="000000"/>
          <w:sz w:val="22"/>
          <w:szCs w:val="22"/>
        </w:rPr>
        <w:t xml:space="preserve">A recommended level of Anti-Hepatitis B </w:t>
      </w:r>
      <w:r w:rsidR="0076173F" w:rsidRPr="000927F0">
        <w:rPr>
          <w:rFonts w:ascii="Arial" w:hAnsi="Arial" w:cs="Arial"/>
          <w:color w:val="000000"/>
          <w:sz w:val="22"/>
          <w:szCs w:val="22"/>
        </w:rPr>
        <w:t xml:space="preserve">antibody for those in high to </w:t>
      </w:r>
      <w:r w:rsidR="00E9362D" w:rsidRPr="000927F0">
        <w:rPr>
          <w:rFonts w:ascii="Arial" w:hAnsi="Arial" w:cs="Arial"/>
          <w:color w:val="000000"/>
          <w:sz w:val="22"/>
          <w:szCs w:val="22"/>
        </w:rPr>
        <w:t>moderate</w:t>
      </w:r>
      <w:r w:rsidR="00B94039" w:rsidRPr="000927F0">
        <w:rPr>
          <w:rFonts w:ascii="Arial" w:hAnsi="Arial" w:cs="Arial"/>
          <w:color w:val="000000"/>
          <w:sz w:val="22"/>
          <w:szCs w:val="22"/>
        </w:rPr>
        <w:t xml:space="preserve"> occupations is &gt;100 IU/ml with a booster dose given after 5 years or following a contamination injury. </w:t>
      </w:r>
    </w:p>
    <w:p w:rsidR="006D21CC" w:rsidRPr="000927F0" w:rsidRDefault="00B245E5" w:rsidP="00B245E5">
      <w:pPr>
        <w:pStyle w:val="Normal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927F0">
        <w:rPr>
          <w:rFonts w:ascii="Arial" w:hAnsi="Arial" w:cs="Arial"/>
          <w:color w:val="000000"/>
          <w:sz w:val="22"/>
          <w:szCs w:val="22"/>
        </w:rPr>
        <w:lastRenderedPageBreak/>
        <w:t xml:space="preserve">10.5 </w:t>
      </w:r>
      <w:r w:rsidR="009535CF" w:rsidRPr="000927F0">
        <w:rPr>
          <w:rFonts w:ascii="Arial" w:hAnsi="Arial" w:cs="Arial"/>
          <w:color w:val="000000"/>
          <w:sz w:val="22"/>
          <w:szCs w:val="22"/>
        </w:rPr>
        <w:t xml:space="preserve">For those in </w:t>
      </w:r>
      <w:r w:rsidR="007966BA" w:rsidRPr="000927F0">
        <w:rPr>
          <w:rFonts w:ascii="Arial" w:hAnsi="Arial" w:cs="Arial"/>
          <w:color w:val="000000"/>
          <w:sz w:val="22"/>
          <w:szCs w:val="22"/>
        </w:rPr>
        <w:t xml:space="preserve">moderate to </w:t>
      </w:r>
      <w:r w:rsidR="00B94039" w:rsidRPr="000927F0">
        <w:rPr>
          <w:rFonts w:ascii="Arial" w:hAnsi="Arial" w:cs="Arial"/>
          <w:color w:val="000000"/>
          <w:sz w:val="22"/>
          <w:szCs w:val="22"/>
        </w:rPr>
        <w:t>low risk occupations a level of &gt;10 IU/ml is considered adequate protection. A booster dose at 5 years will be offered to those in moderate risk categories.</w:t>
      </w:r>
    </w:p>
    <w:p w:rsidR="006D21CC" w:rsidRPr="000927F0" w:rsidRDefault="00B245E5" w:rsidP="00B245E5">
      <w:pPr>
        <w:pStyle w:val="Normal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927F0">
        <w:rPr>
          <w:rFonts w:ascii="Arial" w:hAnsi="Arial" w:cs="Arial"/>
          <w:color w:val="000000"/>
          <w:sz w:val="22"/>
          <w:szCs w:val="22"/>
        </w:rPr>
        <w:t xml:space="preserve">10.6 </w:t>
      </w:r>
      <w:r w:rsidR="00E62CFC" w:rsidRPr="000927F0">
        <w:rPr>
          <w:rFonts w:ascii="Arial" w:hAnsi="Arial" w:cs="Arial"/>
          <w:color w:val="000000"/>
          <w:sz w:val="22"/>
          <w:szCs w:val="22"/>
        </w:rPr>
        <w:t>The protocol between Oxford Brookes University Occupational Health Department and St Bartholomew’s Medical Centre located on Campus for staff/students to Receive Immunisations/Vaccinations via the Medical Centre will apply in this case</w:t>
      </w:r>
    </w:p>
    <w:p w:rsidR="00062647" w:rsidRPr="000927F0" w:rsidRDefault="00B245E5" w:rsidP="00B245E5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927F0">
        <w:rPr>
          <w:rFonts w:ascii="Arial" w:hAnsi="Arial" w:cs="Arial"/>
          <w:color w:val="000000"/>
          <w:sz w:val="22"/>
          <w:szCs w:val="22"/>
        </w:rPr>
        <w:t xml:space="preserve">10.7 </w:t>
      </w:r>
      <w:r w:rsidR="00E62CFC" w:rsidRPr="000927F0">
        <w:rPr>
          <w:rFonts w:ascii="Arial" w:hAnsi="Arial" w:cs="Arial"/>
          <w:color w:val="000000"/>
          <w:sz w:val="22"/>
          <w:szCs w:val="22"/>
        </w:rPr>
        <w:t>Up-to-date risk assessments will inform the need to give vaccinations to</w:t>
      </w:r>
      <w:r w:rsidR="00062647" w:rsidRPr="000927F0">
        <w:rPr>
          <w:rFonts w:ascii="Arial" w:hAnsi="Arial" w:cs="Arial"/>
          <w:color w:val="000000"/>
          <w:sz w:val="22"/>
          <w:szCs w:val="22"/>
        </w:rPr>
        <w:t xml:space="preserve"> </w:t>
      </w:r>
      <w:r w:rsidR="00E62CFC" w:rsidRPr="000927F0">
        <w:rPr>
          <w:rFonts w:ascii="Arial" w:hAnsi="Arial" w:cs="Arial"/>
          <w:color w:val="000000"/>
          <w:sz w:val="22"/>
          <w:szCs w:val="22"/>
        </w:rPr>
        <w:t xml:space="preserve">protect against occupational risk. </w:t>
      </w:r>
    </w:p>
    <w:p w:rsidR="00E62CFC" w:rsidRPr="000927F0" w:rsidRDefault="00B245E5" w:rsidP="00B245E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927F0">
        <w:rPr>
          <w:rFonts w:ascii="Arial" w:hAnsi="Arial" w:cs="Arial"/>
          <w:color w:val="000000"/>
          <w:sz w:val="22"/>
          <w:szCs w:val="22"/>
        </w:rPr>
        <w:t xml:space="preserve">10.8 </w:t>
      </w:r>
      <w:r w:rsidR="00E62CFC" w:rsidRPr="000927F0">
        <w:rPr>
          <w:rFonts w:ascii="Arial" w:hAnsi="Arial" w:cs="Arial"/>
          <w:color w:val="000000"/>
          <w:sz w:val="22"/>
          <w:szCs w:val="22"/>
        </w:rPr>
        <w:t xml:space="preserve">A Medical Centre Medical History Form will be </w:t>
      </w:r>
      <w:r w:rsidR="00062647" w:rsidRPr="000927F0">
        <w:rPr>
          <w:rFonts w:ascii="Arial" w:hAnsi="Arial" w:cs="Arial"/>
          <w:color w:val="000000"/>
          <w:sz w:val="22"/>
          <w:szCs w:val="22"/>
        </w:rPr>
        <w:t xml:space="preserve">used </w:t>
      </w:r>
      <w:r w:rsidR="00E62CFC" w:rsidRPr="000927F0">
        <w:rPr>
          <w:rFonts w:ascii="Arial" w:hAnsi="Arial" w:cs="Arial"/>
          <w:color w:val="000000"/>
          <w:sz w:val="22"/>
          <w:szCs w:val="22"/>
        </w:rPr>
        <w:t>to identify which vaccinations will be required.</w:t>
      </w:r>
    </w:p>
    <w:p w:rsidR="00062647" w:rsidRPr="000927F0" w:rsidRDefault="00B245E5" w:rsidP="00B245E5">
      <w:pPr>
        <w:pStyle w:val="Normal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927F0">
        <w:rPr>
          <w:rFonts w:ascii="Arial" w:hAnsi="Arial" w:cs="Arial"/>
          <w:color w:val="000000"/>
          <w:sz w:val="22"/>
          <w:szCs w:val="22"/>
        </w:rPr>
        <w:t xml:space="preserve">10.9 </w:t>
      </w:r>
      <w:r w:rsidR="00E62CFC" w:rsidRPr="000927F0">
        <w:rPr>
          <w:rFonts w:ascii="Arial" w:hAnsi="Arial" w:cs="Arial"/>
          <w:color w:val="000000"/>
          <w:sz w:val="22"/>
          <w:szCs w:val="22"/>
        </w:rPr>
        <w:t>The</w:t>
      </w:r>
      <w:r w:rsidR="00062647" w:rsidRPr="000927F0">
        <w:rPr>
          <w:rFonts w:ascii="Arial" w:hAnsi="Arial" w:cs="Arial"/>
          <w:color w:val="000000"/>
          <w:sz w:val="22"/>
          <w:szCs w:val="22"/>
        </w:rPr>
        <w:t xml:space="preserve"> form will be passed to a Medical Centre</w:t>
      </w:r>
      <w:r w:rsidR="00E62CFC" w:rsidRPr="000927F0">
        <w:rPr>
          <w:rFonts w:ascii="Arial" w:hAnsi="Arial" w:cs="Arial"/>
          <w:color w:val="000000"/>
          <w:sz w:val="22"/>
          <w:szCs w:val="22"/>
        </w:rPr>
        <w:t xml:space="preserve"> Doctor for a signature of consent; this is a legal requirement as it is a private service.</w:t>
      </w:r>
    </w:p>
    <w:p w:rsidR="00062647" w:rsidRPr="000927F0" w:rsidRDefault="00B245E5" w:rsidP="00B245E5">
      <w:pPr>
        <w:pStyle w:val="Normal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927F0">
        <w:rPr>
          <w:rFonts w:ascii="Arial" w:hAnsi="Arial" w:cs="Arial"/>
          <w:color w:val="000000"/>
          <w:sz w:val="22"/>
          <w:szCs w:val="22"/>
        </w:rPr>
        <w:t xml:space="preserve">10.10 </w:t>
      </w:r>
      <w:r w:rsidR="00062647" w:rsidRPr="000927F0">
        <w:rPr>
          <w:rFonts w:ascii="Arial" w:hAnsi="Arial" w:cs="Arial"/>
          <w:color w:val="000000"/>
          <w:sz w:val="22"/>
          <w:szCs w:val="22"/>
        </w:rPr>
        <w:t xml:space="preserve">The </w:t>
      </w:r>
      <w:r w:rsidR="00032408" w:rsidRPr="000927F0">
        <w:rPr>
          <w:rFonts w:ascii="Arial" w:hAnsi="Arial" w:cs="Arial"/>
          <w:color w:val="000000"/>
          <w:sz w:val="22"/>
          <w:szCs w:val="22"/>
        </w:rPr>
        <w:t>Practice N</w:t>
      </w:r>
      <w:r w:rsidR="00E62CFC" w:rsidRPr="000927F0">
        <w:rPr>
          <w:rFonts w:ascii="Arial" w:hAnsi="Arial" w:cs="Arial"/>
          <w:color w:val="000000"/>
          <w:sz w:val="22"/>
          <w:szCs w:val="22"/>
        </w:rPr>
        <w:t>urses will apply normal nurse protocols for safe administration of immunisations.</w:t>
      </w:r>
    </w:p>
    <w:p w:rsidR="00E62CFC" w:rsidRPr="000927F0" w:rsidRDefault="00B245E5" w:rsidP="00B245E5">
      <w:pPr>
        <w:pStyle w:val="Normal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927F0">
        <w:rPr>
          <w:rFonts w:ascii="Arial" w:hAnsi="Arial" w:cs="Arial"/>
          <w:color w:val="000000"/>
          <w:sz w:val="22"/>
          <w:szCs w:val="22"/>
        </w:rPr>
        <w:t xml:space="preserve">10.11 </w:t>
      </w:r>
      <w:r w:rsidR="00062647" w:rsidRPr="000927F0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D21CC" w:rsidRPr="000927F0">
        <w:rPr>
          <w:rFonts w:ascii="Arial" w:hAnsi="Arial" w:cs="Arial"/>
          <w:color w:val="000000"/>
          <w:sz w:val="22"/>
          <w:szCs w:val="22"/>
        </w:rPr>
        <w:t>employee/</w:t>
      </w:r>
      <w:r w:rsidR="00062647" w:rsidRPr="000927F0">
        <w:rPr>
          <w:rFonts w:ascii="Arial" w:hAnsi="Arial" w:cs="Arial"/>
          <w:color w:val="000000"/>
          <w:sz w:val="22"/>
          <w:szCs w:val="22"/>
        </w:rPr>
        <w:t xml:space="preserve">student will be given </w:t>
      </w:r>
      <w:r w:rsidR="00E62CFC" w:rsidRPr="000927F0">
        <w:rPr>
          <w:rFonts w:ascii="Arial" w:hAnsi="Arial" w:cs="Arial"/>
          <w:color w:val="000000"/>
          <w:sz w:val="22"/>
          <w:szCs w:val="22"/>
        </w:rPr>
        <w:t>a computer printout of the vaccine administered with batch numbers recorded. The staff member can use this to pas</w:t>
      </w:r>
      <w:r w:rsidR="00032408" w:rsidRPr="000927F0">
        <w:rPr>
          <w:rFonts w:ascii="Arial" w:hAnsi="Arial" w:cs="Arial"/>
          <w:color w:val="000000"/>
          <w:sz w:val="22"/>
          <w:szCs w:val="22"/>
        </w:rPr>
        <w:t>s to their NHS G</w:t>
      </w:r>
      <w:r w:rsidR="003852E9">
        <w:rPr>
          <w:rFonts w:ascii="Arial" w:hAnsi="Arial" w:cs="Arial"/>
          <w:color w:val="000000"/>
          <w:sz w:val="22"/>
          <w:szCs w:val="22"/>
        </w:rPr>
        <w:t xml:space="preserve">eneral </w:t>
      </w:r>
      <w:r w:rsidR="00032408" w:rsidRPr="000927F0">
        <w:rPr>
          <w:rFonts w:ascii="Arial" w:hAnsi="Arial" w:cs="Arial"/>
          <w:color w:val="000000"/>
          <w:sz w:val="22"/>
          <w:szCs w:val="22"/>
        </w:rPr>
        <w:t>P</w:t>
      </w:r>
      <w:r w:rsidR="003852E9">
        <w:rPr>
          <w:rFonts w:ascii="Arial" w:hAnsi="Arial" w:cs="Arial"/>
          <w:color w:val="000000"/>
          <w:sz w:val="22"/>
          <w:szCs w:val="22"/>
        </w:rPr>
        <w:t>ractitioner</w:t>
      </w:r>
      <w:r w:rsidR="00E62CFC" w:rsidRPr="000927F0">
        <w:rPr>
          <w:rFonts w:ascii="Arial" w:hAnsi="Arial" w:cs="Arial"/>
          <w:color w:val="000000"/>
          <w:sz w:val="22"/>
          <w:szCs w:val="22"/>
        </w:rPr>
        <w:t xml:space="preserve">.  A copy of the printout will also be sent in the external post </w:t>
      </w:r>
      <w:r w:rsidR="00062647" w:rsidRPr="000927F0">
        <w:rPr>
          <w:rFonts w:ascii="Arial" w:hAnsi="Arial" w:cs="Arial"/>
          <w:color w:val="000000"/>
          <w:sz w:val="22"/>
          <w:szCs w:val="22"/>
        </w:rPr>
        <w:t>back to the O</w:t>
      </w:r>
      <w:r w:rsidR="006D21CC" w:rsidRPr="000927F0">
        <w:rPr>
          <w:rFonts w:ascii="Arial" w:hAnsi="Arial" w:cs="Arial"/>
          <w:color w:val="000000"/>
          <w:sz w:val="22"/>
          <w:szCs w:val="22"/>
        </w:rPr>
        <w:t xml:space="preserve">ccupational Health </w:t>
      </w:r>
      <w:r w:rsidR="00062647" w:rsidRPr="000927F0">
        <w:rPr>
          <w:rFonts w:ascii="Arial" w:hAnsi="Arial" w:cs="Arial"/>
          <w:color w:val="000000"/>
          <w:sz w:val="22"/>
          <w:szCs w:val="22"/>
        </w:rPr>
        <w:t>Department at Brookes</w:t>
      </w:r>
      <w:r w:rsidR="00E62CFC" w:rsidRPr="000927F0">
        <w:rPr>
          <w:rFonts w:ascii="Arial" w:hAnsi="Arial" w:cs="Arial"/>
          <w:color w:val="000000"/>
          <w:sz w:val="22"/>
          <w:szCs w:val="22"/>
        </w:rPr>
        <w:t>.</w:t>
      </w:r>
    </w:p>
    <w:p w:rsidR="00FA4B43" w:rsidRPr="00032408" w:rsidRDefault="00B245E5" w:rsidP="00EE21A3">
      <w:pPr>
        <w:pStyle w:val="NormalWeb"/>
        <w:spacing w:line="30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927F0">
        <w:rPr>
          <w:rFonts w:ascii="Arial" w:hAnsi="Arial" w:cs="Arial"/>
          <w:color w:val="000000"/>
          <w:sz w:val="22"/>
          <w:szCs w:val="22"/>
        </w:rPr>
        <w:t>10.12</w:t>
      </w:r>
      <w:r w:rsidR="007966BA" w:rsidRPr="000927F0">
        <w:rPr>
          <w:rFonts w:ascii="Arial" w:hAnsi="Arial" w:cs="Arial"/>
          <w:color w:val="000000"/>
          <w:sz w:val="22"/>
          <w:szCs w:val="22"/>
        </w:rPr>
        <w:t xml:space="preserve"> </w:t>
      </w:r>
      <w:r w:rsidR="00205AA9" w:rsidRPr="000927F0">
        <w:rPr>
          <w:rFonts w:ascii="Arial" w:hAnsi="Arial" w:cs="Arial"/>
          <w:color w:val="000000"/>
          <w:sz w:val="22"/>
          <w:szCs w:val="22"/>
          <w:shd w:val="clear" w:color="auto" w:fill="FFFFFF"/>
        </w:rPr>
        <w:t>In the event of an incident exposing</w:t>
      </w:r>
      <w:r w:rsidR="00FA4B43" w:rsidRPr="000927F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the individual to Hepatitis B/</w:t>
      </w:r>
      <w:r w:rsidR="00205AA9" w:rsidRPr="000927F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Hepatitis C/HIV contaminated material, </w:t>
      </w:r>
      <w:r w:rsidR="00FA4B43" w:rsidRPr="000927F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 incident form must be completed and sent to </w:t>
      </w:r>
      <w:r w:rsidR="00205AA9" w:rsidRPr="000927F0">
        <w:rPr>
          <w:rFonts w:ascii="Arial" w:hAnsi="Arial" w:cs="Arial"/>
          <w:color w:val="000000"/>
          <w:sz w:val="22"/>
          <w:szCs w:val="22"/>
          <w:shd w:val="clear" w:color="auto" w:fill="FFFFFF"/>
        </w:rPr>
        <w:t>the</w:t>
      </w:r>
      <w:r w:rsidR="00205AA9" w:rsidRPr="00A0723F">
        <w:rPr>
          <w:rFonts w:ascii="Arial" w:hAnsi="Arial" w:cs="Arial"/>
          <w:color w:val="414042"/>
          <w:sz w:val="22"/>
          <w:szCs w:val="22"/>
          <w:shd w:val="clear" w:color="auto" w:fill="FFFFFF"/>
        </w:rPr>
        <w:t xml:space="preserve"> </w:t>
      </w:r>
      <w:r w:rsidR="00570418" w:rsidRPr="00032408">
        <w:rPr>
          <w:rFonts w:ascii="Arial" w:hAnsi="Arial" w:cs="Arial"/>
          <w:sz w:val="22"/>
          <w:szCs w:val="22"/>
          <w:shd w:val="clear" w:color="auto" w:fill="FFFFFF"/>
        </w:rPr>
        <w:t>Occupational Health</w:t>
      </w:r>
      <w:r w:rsidR="00396825" w:rsidRPr="0003240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05AA9" w:rsidRPr="00032408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396825" w:rsidRPr="00032408">
        <w:rPr>
          <w:rFonts w:ascii="Arial" w:hAnsi="Arial" w:cs="Arial"/>
          <w:sz w:val="22"/>
          <w:szCs w:val="22"/>
          <w:shd w:val="clear" w:color="auto" w:fill="FFFFFF"/>
        </w:rPr>
        <w:t>epartment</w:t>
      </w:r>
      <w:r w:rsidRPr="00032408">
        <w:rPr>
          <w:rFonts w:ascii="Arial" w:hAnsi="Arial" w:cs="Arial"/>
          <w:sz w:val="22"/>
          <w:szCs w:val="22"/>
          <w:shd w:val="clear" w:color="auto" w:fill="FFFFFF"/>
        </w:rPr>
        <w:t xml:space="preserve"> at Brookes</w:t>
      </w:r>
      <w:r w:rsidR="00FA4B43" w:rsidRPr="00032408">
        <w:rPr>
          <w:rFonts w:ascii="Arial" w:hAnsi="Arial" w:cs="Arial"/>
          <w:sz w:val="22"/>
          <w:szCs w:val="22"/>
          <w:shd w:val="clear" w:color="auto" w:fill="FFFFFF"/>
        </w:rPr>
        <w:t>.  The employee/student will be referred to the John Radcliffe Hospital Centre for Health and Well-being.</w:t>
      </w:r>
    </w:p>
    <w:p w:rsidR="00396825" w:rsidRPr="00032408" w:rsidRDefault="00B245E5" w:rsidP="00EE21A3">
      <w:pPr>
        <w:pStyle w:val="NormalWeb"/>
        <w:spacing w:line="300" w:lineRule="atLeast"/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  <w:r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10.13</w:t>
      </w:r>
      <w:r w:rsidR="007966BA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96825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A contamination incident would include a sharps injury from a used needle/sharp, a splash of blood or blood stained body fluids into eyes, nose or mouth and a bite or scratch that breaks the skin.</w:t>
      </w:r>
    </w:p>
    <w:p w:rsidR="00396825" w:rsidRPr="00032408" w:rsidRDefault="00B245E5" w:rsidP="00EE21A3">
      <w:pPr>
        <w:pStyle w:val="NormalWeb"/>
        <w:spacing w:line="300" w:lineRule="atLeast"/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  <w:r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10.14</w:t>
      </w:r>
      <w:r w:rsidR="007966BA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96825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Following a sharps injury an injured employee</w:t>
      </w:r>
      <w:r w:rsidR="00C36C3B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/student</w:t>
      </w:r>
      <w:r w:rsidR="00396825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A4B43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will be referred by their manager </w:t>
      </w:r>
      <w:r w:rsidR="00C36C3B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to the relevant NHS Occupational Health service provider (John Radcliffe Hospital Centre for Health and Well-Being or Great Western Hospital Swindon) </w:t>
      </w:r>
      <w:r w:rsidR="00396825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for an assessment </w:t>
      </w:r>
      <w:r w:rsidR="00FA4B43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of risk </w:t>
      </w:r>
      <w:r w:rsidR="00C36C3B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and advice.  The relevant </w:t>
      </w:r>
      <w:r w:rsid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NHS Trust Policy of the Management of Inoculation I</w:t>
      </w:r>
      <w:r w:rsidR="00396825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njuries will be followed and any appropriate immunisations and or blood tests will be offered.</w:t>
      </w:r>
    </w:p>
    <w:p w:rsidR="005B119F" w:rsidRDefault="0076173F" w:rsidP="0012522F">
      <w:pPr>
        <w:pStyle w:val="NormalWeb"/>
        <w:spacing w:line="300" w:lineRule="atLeast"/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  <w:r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1</w:t>
      </w:r>
      <w:r w:rsidR="00B245E5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0.15</w:t>
      </w:r>
      <w:r w:rsidR="002049EE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I</w:t>
      </w:r>
      <w:r w:rsidR="008B34B4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f a</w:t>
      </w:r>
      <w:r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contamination </w:t>
      </w:r>
      <w:r w:rsidR="00396825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incid</w:t>
      </w:r>
      <w:r w:rsidR="008B34B4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ent occurrs</w:t>
      </w:r>
      <w:r w:rsidR="00396825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out of hours, employees</w:t>
      </w:r>
      <w:r w:rsidR="00C36C3B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/students</w:t>
      </w:r>
      <w:r w:rsidR="00396825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should contact the </w:t>
      </w:r>
      <w:r w:rsidR="000D0164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on-call </w:t>
      </w:r>
      <w:r w:rsidR="00396825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micro-biolog</w:t>
      </w:r>
      <w:r w:rsidR="000D0164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ist </w:t>
      </w:r>
      <w:r w:rsidR="00396825" w:rsidRPr="0003240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via</w:t>
      </w:r>
      <w:r w:rsidR="00C36C3B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the John Radcliffe switchboard or attend the A &amp; </w:t>
      </w:r>
      <w:r w:rsidR="0012522F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E</w:t>
      </w:r>
      <w:r w:rsidR="00C36C3B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Department at the Great Western Hospital, Swindon</w:t>
      </w:r>
      <w:r w:rsidR="005B119F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.</w:t>
      </w:r>
    </w:p>
    <w:p w:rsidR="00E83E1F" w:rsidRDefault="00E83E1F" w:rsidP="00E83E1F"/>
    <w:p w:rsidR="00E83E1F" w:rsidRPr="00E83E1F" w:rsidRDefault="00E83E1F" w:rsidP="00E83E1F">
      <w:pPr>
        <w:rPr>
          <w:b/>
          <w:sz w:val="22"/>
          <w:szCs w:val="22"/>
        </w:rPr>
      </w:pPr>
      <w:r w:rsidRPr="00E83E1F">
        <w:rPr>
          <w:b/>
          <w:sz w:val="22"/>
          <w:szCs w:val="22"/>
        </w:rPr>
        <w:t>DATE:</w:t>
      </w:r>
      <w:r w:rsidRPr="00E83E1F">
        <w:rPr>
          <w:sz w:val="22"/>
          <w:szCs w:val="22"/>
        </w:rPr>
        <w:t xml:space="preserve"> December 2015</w:t>
      </w:r>
    </w:p>
    <w:p w:rsidR="00E83E1F" w:rsidRPr="00E83E1F" w:rsidRDefault="00E83E1F" w:rsidP="00E83E1F">
      <w:pPr>
        <w:rPr>
          <w:b/>
          <w:sz w:val="22"/>
          <w:szCs w:val="22"/>
        </w:rPr>
      </w:pPr>
    </w:p>
    <w:p w:rsidR="00E83E1F" w:rsidRPr="00E83E1F" w:rsidRDefault="00E83E1F" w:rsidP="00E83E1F">
      <w:pPr>
        <w:rPr>
          <w:sz w:val="22"/>
          <w:szCs w:val="22"/>
        </w:rPr>
      </w:pPr>
      <w:r w:rsidRPr="00E83E1F">
        <w:rPr>
          <w:b/>
          <w:sz w:val="22"/>
          <w:szCs w:val="22"/>
        </w:rPr>
        <w:t>Date of next review:</w:t>
      </w:r>
      <w:r w:rsidR="006F0153">
        <w:rPr>
          <w:sz w:val="22"/>
          <w:szCs w:val="22"/>
        </w:rPr>
        <w:t xml:space="preserve">  December 2018</w:t>
      </w:r>
    </w:p>
    <w:p w:rsidR="00507D29" w:rsidRPr="00E83E1F" w:rsidRDefault="00507D29" w:rsidP="0012522F">
      <w:pPr>
        <w:rPr>
          <w:sz w:val="22"/>
          <w:szCs w:val="22"/>
        </w:rPr>
      </w:pPr>
    </w:p>
    <w:p w:rsidR="00E83E1F" w:rsidRDefault="00E83E1F" w:rsidP="0012522F"/>
    <w:p w:rsidR="00E83E1F" w:rsidRDefault="00E83E1F" w:rsidP="0012522F">
      <w:pPr>
        <w:sectPr w:rsidR="00E83E1F" w:rsidSect="001252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701" w:bottom="851" w:left="1701" w:header="0" w:footer="162" w:gutter="0"/>
          <w:cols w:space="720"/>
          <w:titlePg/>
          <w:docGrid w:linePitch="326"/>
        </w:sectPr>
      </w:pPr>
    </w:p>
    <w:p w:rsidR="001414C4" w:rsidRPr="001414C4" w:rsidRDefault="001414C4" w:rsidP="00915262">
      <w:pPr>
        <w:jc w:val="center"/>
        <w:rPr>
          <w:b/>
        </w:rPr>
      </w:pPr>
      <w:r w:rsidRPr="001414C4">
        <w:rPr>
          <w:b/>
        </w:rPr>
        <w:lastRenderedPageBreak/>
        <w:t>Appendix 1</w:t>
      </w:r>
    </w:p>
    <w:p w:rsidR="005B119F" w:rsidRDefault="00915262" w:rsidP="00915262">
      <w:pPr>
        <w:jc w:val="center"/>
        <w:rPr>
          <w:b/>
        </w:rPr>
      </w:pPr>
      <w:r>
        <w:rPr>
          <w:b/>
        </w:rPr>
        <w:t xml:space="preserve">Oxford Brookes University </w:t>
      </w:r>
      <w:r w:rsidR="005B119F" w:rsidRPr="00915262">
        <w:rPr>
          <w:b/>
        </w:rPr>
        <w:t>Health Exposure Record</w:t>
      </w:r>
    </w:p>
    <w:p w:rsidR="00915262" w:rsidRDefault="00915262" w:rsidP="005B119F">
      <w:pPr>
        <w:rPr>
          <w:rFonts w:cs="Arial"/>
          <w:b/>
          <w:sz w:val="22"/>
          <w:szCs w:val="22"/>
        </w:rPr>
      </w:pPr>
    </w:p>
    <w:p w:rsidR="005B119F" w:rsidRDefault="005B119F" w:rsidP="005B119F">
      <w:pPr>
        <w:rPr>
          <w:rFonts w:cs="Arial"/>
          <w:sz w:val="22"/>
          <w:szCs w:val="22"/>
        </w:rPr>
      </w:pPr>
      <w:r w:rsidRPr="00915262">
        <w:rPr>
          <w:rFonts w:cs="Arial"/>
          <w:b/>
          <w:sz w:val="22"/>
          <w:szCs w:val="22"/>
        </w:rPr>
        <w:t>Copies:</w:t>
      </w:r>
      <w:r w:rsidRPr="00915262">
        <w:rPr>
          <w:rFonts w:cs="Arial"/>
          <w:sz w:val="22"/>
          <w:szCs w:val="22"/>
        </w:rPr>
        <w:t xml:space="preserve">   Occupational Health Record &amp; Employee’s / Student’s Manager</w:t>
      </w:r>
      <w:r w:rsidRPr="00915262">
        <w:rPr>
          <w:rFonts w:cs="Arial"/>
          <w:sz w:val="22"/>
          <w:szCs w:val="22"/>
        </w:rPr>
        <w:tab/>
      </w:r>
    </w:p>
    <w:p w:rsidR="00915262" w:rsidRPr="00915262" w:rsidRDefault="00915262" w:rsidP="005B119F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  <w:gridCol w:w="4819"/>
      </w:tblGrid>
      <w:tr w:rsidR="005B119F" w:rsidTr="00CE4968">
        <w:trPr>
          <w:trHeight w:val="876"/>
        </w:trPr>
        <w:tc>
          <w:tcPr>
            <w:tcW w:w="5637" w:type="dxa"/>
            <w:tcBorders>
              <w:right w:val="single" w:sz="4" w:space="0" w:color="auto"/>
            </w:tcBorders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Employee’s / Student’s Name:</w:t>
            </w: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Faculty / Directorate:</w:t>
            </w:r>
          </w:p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Gender:</w:t>
            </w: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Date of Birth:</w:t>
            </w:r>
          </w:p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P No.:</w:t>
            </w: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Role:</w:t>
            </w: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5B119F" w:rsidRPr="0010159F" w:rsidRDefault="005B119F" w:rsidP="005B119F">
      <w:pPr>
        <w:rPr>
          <w:sz w:val="16"/>
          <w:szCs w:val="16"/>
        </w:rPr>
      </w:pPr>
      <w:r>
        <w:t xml:space="preserve">   </w:t>
      </w: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211"/>
        <w:gridCol w:w="1242"/>
        <w:gridCol w:w="1267"/>
        <w:gridCol w:w="1246"/>
        <w:gridCol w:w="2149"/>
        <w:gridCol w:w="1301"/>
        <w:gridCol w:w="1464"/>
        <w:gridCol w:w="1282"/>
        <w:gridCol w:w="1953"/>
      </w:tblGrid>
      <w:tr w:rsidR="0072138A" w:rsidTr="00CE4968">
        <w:trPr>
          <w:trHeight w:val="1654"/>
        </w:trPr>
        <w:tc>
          <w:tcPr>
            <w:tcW w:w="1315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Name of Substance</w:t>
            </w:r>
          </w:p>
        </w:tc>
        <w:tc>
          <w:tcPr>
            <w:tcW w:w="121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Nature of Hazard</w:t>
            </w: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(1)</w:t>
            </w:r>
          </w:p>
        </w:tc>
        <w:tc>
          <w:tcPr>
            <w:tcW w:w="124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Physical State</w:t>
            </w: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(2)</w:t>
            </w:r>
          </w:p>
        </w:tc>
        <w:tc>
          <w:tcPr>
            <w:tcW w:w="1267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Quantity</w:t>
            </w:r>
          </w:p>
        </w:tc>
        <w:tc>
          <w:tcPr>
            <w:tcW w:w="124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Amount</w:t>
            </w: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(3)</w:t>
            </w:r>
          </w:p>
        </w:tc>
        <w:tc>
          <w:tcPr>
            <w:tcW w:w="202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Frequency/Duration of Use</w:t>
            </w: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(4)</w:t>
            </w:r>
          </w:p>
        </w:tc>
        <w:tc>
          <w:tcPr>
            <w:tcW w:w="130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Control Measures</w:t>
            </w: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(5)</w:t>
            </w:r>
          </w:p>
        </w:tc>
        <w:tc>
          <w:tcPr>
            <w:tcW w:w="139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Date Exposure Commenced</w:t>
            </w:r>
          </w:p>
        </w:tc>
        <w:tc>
          <w:tcPr>
            <w:tcW w:w="128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Date Exposure Ceased</w:t>
            </w:r>
          </w:p>
        </w:tc>
        <w:tc>
          <w:tcPr>
            <w:tcW w:w="1893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 xml:space="preserve">Incident/Accident/ Surveillance Records Attached </w:t>
            </w: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Y/N</w:t>
            </w:r>
          </w:p>
          <w:p w:rsidR="005B119F" w:rsidRPr="00CE4968" w:rsidRDefault="005B119F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(6,7)</w:t>
            </w:r>
          </w:p>
        </w:tc>
      </w:tr>
      <w:tr w:rsidR="0072138A" w:rsidTr="00CE4968">
        <w:tc>
          <w:tcPr>
            <w:tcW w:w="1315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138A" w:rsidTr="00CE4968">
        <w:tc>
          <w:tcPr>
            <w:tcW w:w="1315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138A" w:rsidTr="00CE4968">
        <w:tc>
          <w:tcPr>
            <w:tcW w:w="1315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138A" w:rsidTr="00CE4968">
        <w:tc>
          <w:tcPr>
            <w:tcW w:w="1315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138A" w:rsidTr="00CE4968">
        <w:tc>
          <w:tcPr>
            <w:tcW w:w="1315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138A" w:rsidTr="00CE4968">
        <w:tc>
          <w:tcPr>
            <w:tcW w:w="1315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138A" w:rsidTr="00CE4968">
        <w:tc>
          <w:tcPr>
            <w:tcW w:w="1315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138A" w:rsidTr="00CE4968">
        <w:tc>
          <w:tcPr>
            <w:tcW w:w="1315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138A" w:rsidTr="00CE4968">
        <w:tc>
          <w:tcPr>
            <w:tcW w:w="1315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:rsidR="005B119F" w:rsidRPr="00CE4968" w:rsidRDefault="005B119F" w:rsidP="00CE4968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5B119F" w:rsidRPr="0010159F" w:rsidRDefault="005B119F" w:rsidP="005B119F">
      <w:pPr>
        <w:ind w:left="360"/>
        <w:rPr>
          <w:rFonts w:cs="Arial"/>
          <w:sz w:val="18"/>
          <w:szCs w:val="18"/>
        </w:rPr>
      </w:pPr>
    </w:p>
    <w:p w:rsidR="005B119F" w:rsidRPr="0010159F" w:rsidRDefault="005B119F" w:rsidP="005B119F">
      <w:pPr>
        <w:pStyle w:val="ColorfulList-Accent1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10159F">
        <w:rPr>
          <w:rFonts w:ascii="Arial" w:hAnsi="Arial" w:cs="Arial"/>
          <w:sz w:val="18"/>
          <w:szCs w:val="18"/>
        </w:rPr>
        <w:t>Carcinogen,</w:t>
      </w:r>
      <w:r>
        <w:rPr>
          <w:rFonts w:ascii="Arial" w:hAnsi="Arial" w:cs="Arial"/>
          <w:sz w:val="18"/>
          <w:szCs w:val="18"/>
        </w:rPr>
        <w:t xml:space="preserve"> </w:t>
      </w:r>
      <w:r w:rsidRPr="0010159F">
        <w:rPr>
          <w:rFonts w:ascii="Arial" w:hAnsi="Arial" w:cs="Arial"/>
          <w:sz w:val="18"/>
          <w:szCs w:val="18"/>
        </w:rPr>
        <w:t>mutagen,</w:t>
      </w:r>
      <w:r>
        <w:rPr>
          <w:rFonts w:ascii="Arial" w:hAnsi="Arial" w:cs="Arial"/>
          <w:sz w:val="18"/>
          <w:szCs w:val="18"/>
        </w:rPr>
        <w:t xml:space="preserve"> </w:t>
      </w:r>
      <w:r w:rsidRPr="0010159F">
        <w:rPr>
          <w:rFonts w:ascii="Arial" w:hAnsi="Arial" w:cs="Arial"/>
          <w:sz w:val="18"/>
          <w:szCs w:val="18"/>
        </w:rPr>
        <w:t>reproductive toxicity, respiratory sensitiser, skin sensitiser,</w:t>
      </w:r>
    </w:p>
    <w:p w:rsidR="005B119F" w:rsidRPr="0010159F" w:rsidRDefault="005B119F" w:rsidP="005B119F">
      <w:pPr>
        <w:pStyle w:val="ColorfulList-Accent1"/>
        <w:rPr>
          <w:rFonts w:ascii="Arial" w:hAnsi="Arial" w:cs="Arial"/>
          <w:sz w:val="18"/>
          <w:szCs w:val="18"/>
        </w:rPr>
      </w:pPr>
      <w:r w:rsidRPr="0010159F">
        <w:rPr>
          <w:rFonts w:ascii="Arial" w:hAnsi="Arial" w:cs="Arial"/>
          <w:sz w:val="18"/>
          <w:szCs w:val="18"/>
        </w:rPr>
        <w:t xml:space="preserve">Blood, blood products                                                                                                            5. Fume cupboard, laminar flow bench, LEV, glove box or similar </w:t>
      </w:r>
    </w:p>
    <w:p w:rsidR="005B119F" w:rsidRPr="0010159F" w:rsidRDefault="005B119F" w:rsidP="005B119F">
      <w:pPr>
        <w:pStyle w:val="ColorfulList-Accent1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10159F">
        <w:rPr>
          <w:rFonts w:ascii="Arial" w:hAnsi="Arial" w:cs="Arial"/>
          <w:sz w:val="18"/>
          <w:szCs w:val="18"/>
        </w:rPr>
        <w:t>Liquid, slid,</w:t>
      </w:r>
      <w:r>
        <w:rPr>
          <w:rFonts w:ascii="Arial" w:hAnsi="Arial" w:cs="Arial"/>
          <w:sz w:val="18"/>
          <w:szCs w:val="18"/>
        </w:rPr>
        <w:t xml:space="preserve"> dust, vapour or gas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10159F">
        <w:rPr>
          <w:rFonts w:ascii="Arial" w:hAnsi="Arial" w:cs="Arial"/>
          <w:sz w:val="18"/>
          <w:szCs w:val="18"/>
        </w:rPr>
        <w:t>PPE/ RPE</w:t>
      </w:r>
    </w:p>
    <w:p w:rsidR="005B119F" w:rsidRPr="0010159F" w:rsidRDefault="005B119F" w:rsidP="005B119F">
      <w:pPr>
        <w:pStyle w:val="ColorfulList-Accent1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10159F">
        <w:rPr>
          <w:rFonts w:ascii="Arial" w:hAnsi="Arial" w:cs="Arial"/>
          <w:sz w:val="18"/>
          <w:szCs w:val="18"/>
        </w:rPr>
        <w:t>Include amounts and units                                                                                                    6.  Please attach copies of any incident/accident details</w:t>
      </w:r>
    </w:p>
    <w:p w:rsidR="005B119F" w:rsidRPr="001414C4" w:rsidRDefault="005B119F" w:rsidP="005B119F">
      <w:pPr>
        <w:pStyle w:val="ColorfulList-Accent1"/>
        <w:numPr>
          <w:ilvl w:val="0"/>
          <w:numId w:val="17"/>
        </w:numPr>
        <w:rPr>
          <w:rStyle w:val="apple-converted-space"/>
          <w:rFonts w:cs="Arial"/>
          <w:shd w:val="clear" w:color="auto" w:fill="FFFFFF"/>
        </w:rPr>
      </w:pPr>
      <w:r w:rsidRPr="001414C4">
        <w:rPr>
          <w:rFonts w:ascii="Arial" w:hAnsi="Arial" w:cs="Arial"/>
          <w:sz w:val="18"/>
          <w:szCs w:val="18"/>
        </w:rPr>
        <w:t>Daily, weekly, monthly, rarely                                                                                               7.  Please keep with any health surveillance outcomes from OHS</w:t>
      </w:r>
    </w:p>
    <w:p w:rsidR="001414C4" w:rsidRDefault="001414C4" w:rsidP="00823764">
      <w:pPr>
        <w:jc w:val="center"/>
        <w:rPr>
          <w:rStyle w:val="apple-converted-space"/>
          <w:rFonts w:cs="Arial"/>
          <w:sz w:val="22"/>
          <w:szCs w:val="22"/>
          <w:shd w:val="clear" w:color="auto" w:fill="FFFFFF"/>
        </w:rPr>
        <w:sectPr w:rsidR="001414C4" w:rsidSect="00507D29">
          <w:pgSz w:w="16840" w:h="11907" w:orient="landscape"/>
          <w:pgMar w:top="1701" w:right="1418" w:bottom="1701" w:left="851" w:header="0" w:footer="162" w:gutter="0"/>
          <w:cols w:space="720"/>
          <w:docGrid w:linePitch="326"/>
        </w:sectPr>
      </w:pPr>
    </w:p>
    <w:p w:rsidR="00EA4EF5" w:rsidRDefault="000F7AA9" w:rsidP="001414C4">
      <w:pPr>
        <w:jc w:val="center"/>
        <w:rPr>
          <w:rFonts w:cs="Arial"/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7728" behindDoc="0" locked="1" layoutInCell="0" allowOverlap="1">
            <wp:simplePos x="0" y="0"/>
            <wp:positionH relativeFrom="page">
              <wp:posOffset>5328920</wp:posOffset>
            </wp:positionH>
            <wp:positionV relativeFrom="page">
              <wp:posOffset>581025</wp:posOffset>
            </wp:positionV>
            <wp:extent cx="1508760" cy="601980"/>
            <wp:effectExtent l="0" t="0" r="0" b="0"/>
            <wp:wrapNone/>
            <wp:docPr id="2" name="Picture 1" descr="Logo_01_USETHIS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01_USETHISO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EF5" w:rsidRDefault="00EA4EF5" w:rsidP="001414C4">
      <w:pPr>
        <w:jc w:val="center"/>
        <w:rPr>
          <w:rFonts w:cs="Arial"/>
          <w:b/>
          <w:sz w:val="20"/>
        </w:rPr>
      </w:pPr>
    </w:p>
    <w:p w:rsidR="00EA4EF5" w:rsidRDefault="00EA4EF5" w:rsidP="00EA4EF5">
      <w:pPr>
        <w:rPr>
          <w:rFonts w:cs="Arial"/>
          <w:b/>
          <w:sz w:val="20"/>
        </w:rPr>
      </w:pPr>
    </w:p>
    <w:p w:rsidR="0016113D" w:rsidRPr="008B34B4" w:rsidRDefault="0016113D" w:rsidP="00915262">
      <w:pPr>
        <w:jc w:val="center"/>
        <w:rPr>
          <w:rFonts w:cs="Arial"/>
          <w:b/>
          <w:szCs w:val="24"/>
        </w:rPr>
      </w:pPr>
      <w:r w:rsidRPr="008B34B4">
        <w:rPr>
          <w:rFonts w:cs="Arial"/>
          <w:b/>
          <w:szCs w:val="24"/>
        </w:rPr>
        <w:t>Appendix 2</w:t>
      </w:r>
    </w:p>
    <w:p w:rsidR="00EA4EF5" w:rsidRPr="008B34B4" w:rsidRDefault="00EA4EF5" w:rsidP="008B34B4">
      <w:pPr>
        <w:jc w:val="center"/>
        <w:rPr>
          <w:rFonts w:cs="Arial"/>
          <w:b/>
          <w:szCs w:val="24"/>
        </w:rPr>
      </w:pPr>
    </w:p>
    <w:p w:rsidR="001414C4" w:rsidRPr="008B34B4" w:rsidRDefault="008B34B4" w:rsidP="008B34B4">
      <w:pPr>
        <w:jc w:val="center"/>
        <w:rPr>
          <w:rFonts w:cs="Arial"/>
          <w:b/>
          <w:szCs w:val="24"/>
        </w:rPr>
      </w:pPr>
      <w:r w:rsidRPr="008B34B4">
        <w:rPr>
          <w:rFonts w:cs="Arial"/>
          <w:b/>
          <w:szCs w:val="24"/>
        </w:rPr>
        <w:t xml:space="preserve">Confidential </w:t>
      </w:r>
      <w:r w:rsidR="001414C4" w:rsidRPr="008B34B4">
        <w:rPr>
          <w:rFonts w:cs="Arial"/>
          <w:b/>
          <w:szCs w:val="24"/>
        </w:rPr>
        <w:t>Pre-placement Hepatitis B Vaccination History Form</w:t>
      </w:r>
    </w:p>
    <w:p w:rsidR="008B34B4" w:rsidRDefault="008B34B4" w:rsidP="00EA4EF5">
      <w:pPr>
        <w:rPr>
          <w:rFonts w:cs="Arial"/>
          <w:b/>
          <w:i/>
          <w:sz w:val="20"/>
        </w:rPr>
      </w:pPr>
    </w:p>
    <w:p w:rsidR="001414C4" w:rsidRPr="008B34B4" w:rsidRDefault="001414C4" w:rsidP="00EA4EF5">
      <w:pPr>
        <w:rPr>
          <w:rFonts w:cs="Arial"/>
          <w:b/>
          <w:sz w:val="20"/>
        </w:rPr>
      </w:pPr>
      <w:r w:rsidRPr="008B34B4">
        <w:rPr>
          <w:rFonts w:cs="Arial"/>
          <w:b/>
          <w:sz w:val="20"/>
        </w:rPr>
        <w:t xml:space="preserve">Please return this completed form to:  A Porat OH Office Coordinator, Room A1/01 Wheatley Campus (x5772) or by email to </w:t>
      </w:r>
      <w:hyperlink r:id="rId15" w:history="1">
        <w:r w:rsidRPr="008B34B4">
          <w:rPr>
            <w:rStyle w:val="Hyperlink"/>
            <w:rFonts w:cs="Arial"/>
            <w:b/>
            <w:sz w:val="20"/>
          </w:rPr>
          <w:t>aporat@brookes.ac.uk</w:t>
        </w:r>
      </w:hyperlink>
      <w:r w:rsidRPr="008B34B4">
        <w:rPr>
          <w:rFonts w:cs="Arial"/>
          <w:b/>
          <w:sz w:val="20"/>
        </w:rPr>
        <w:t xml:space="preserve"> </w:t>
      </w:r>
    </w:p>
    <w:p w:rsidR="00EA4EF5" w:rsidRDefault="00EA4EF5" w:rsidP="00EA4EF5">
      <w:pPr>
        <w:rPr>
          <w:rFonts w:cs="Arial"/>
          <w:b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9"/>
        <w:gridCol w:w="4306"/>
      </w:tblGrid>
      <w:tr w:rsidR="001414C4" w:rsidTr="00CE4968"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b/>
                <w:sz w:val="22"/>
                <w:szCs w:val="22"/>
              </w:rPr>
            </w:pPr>
            <w:r w:rsidRPr="00CE4968">
              <w:rPr>
                <w:rFonts w:eastAsia="Calibri" w:cs="Arial"/>
                <w:b/>
                <w:sz w:val="22"/>
                <w:szCs w:val="22"/>
              </w:rPr>
              <w:t>Name:</w:t>
            </w:r>
          </w:p>
          <w:p w:rsidR="001414C4" w:rsidRPr="00CE4968" w:rsidRDefault="001414C4" w:rsidP="00CE4968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  <w:r w:rsidRPr="00CE4968">
              <w:rPr>
                <w:rFonts w:eastAsia="Calibri" w:cs="Arial"/>
                <w:sz w:val="20"/>
              </w:rPr>
              <w:t>D.o.B:</w:t>
            </w:r>
          </w:p>
        </w:tc>
      </w:tr>
      <w:tr w:rsidR="001414C4" w:rsidTr="00CE4968"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  <w:r w:rsidRPr="00CE4968">
              <w:rPr>
                <w:rFonts w:eastAsia="Calibri" w:cs="Arial"/>
                <w:sz w:val="20"/>
              </w:rPr>
              <w:t>Job Title:</w:t>
            </w:r>
          </w:p>
        </w:tc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  <w:r w:rsidRPr="00CE4968">
              <w:rPr>
                <w:rFonts w:eastAsia="Calibri" w:cs="Arial"/>
                <w:sz w:val="20"/>
              </w:rPr>
              <w:t>Directorate/Faculty</w:t>
            </w:r>
          </w:p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</w:p>
        </w:tc>
      </w:tr>
    </w:tbl>
    <w:p w:rsidR="001414C4" w:rsidRDefault="001414C4" w:rsidP="001414C4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1414C4" w:rsidTr="00CE4968">
        <w:tc>
          <w:tcPr>
            <w:tcW w:w="9242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  <w:r w:rsidRPr="00CE4968">
              <w:rPr>
                <w:rFonts w:eastAsia="Calibri" w:cs="Arial"/>
                <w:sz w:val="20"/>
              </w:rPr>
              <w:t>This form is to ensure that Occupational Health has accurate, up to date, information regarding your vaccination status.  This will ensure that the correct information is sent to your GP / the OBU Medical Centre to meet your personal vaccination requirements as identified by risk assessment.</w:t>
            </w:r>
          </w:p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</w:p>
          <w:p w:rsidR="001414C4" w:rsidRPr="00CE4968" w:rsidRDefault="001414C4" w:rsidP="00CE4968">
            <w:pPr>
              <w:rPr>
                <w:rFonts w:eastAsia="Calibri" w:cs="Arial"/>
                <w:b/>
                <w:sz w:val="20"/>
              </w:rPr>
            </w:pPr>
            <w:r w:rsidRPr="00CE4968">
              <w:rPr>
                <w:rFonts w:eastAsia="Calibri" w:cs="Arial"/>
                <w:b/>
                <w:sz w:val="20"/>
              </w:rPr>
              <w:t>It is vital that the information you provide is comprehensive and accurate – do not guess if you do not know.  Your GP surgery should be able to provide all the information required if you are uncertain of the accuracy of your own records.</w:t>
            </w:r>
          </w:p>
        </w:tc>
      </w:tr>
    </w:tbl>
    <w:p w:rsidR="001414C4" w:rsidRDefault="001414C4" w:rsidP="001414C4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1414C4" w:rsidTr="00CE4968">
        <w:tc>
          <w:tcPr>
            <w:tcW w:w="9242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b/>
                <w:sz w:val="20"/>
              </w:rPr>
            </w:pPr>
            <w:r w:rsidRPr="00CE4968">
              <w:rPr>
                <w:rFonts w:eastAsia="Calibri" w:cs="Arial"/>
                <w:b/>
                <w:sz w:val="20"/>
              </w:rPr>
              <w:t>Vaccination and Serology History</w:t>
            </w:r>
          </w:p>
        </w:tc>
      </w:tr>
    </w:tbl>
    <w:p w:rsidR="001414C4" w:rsidRDefault="001414C4" w:rsidP="001414C4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1414C4" w:rsidTr="00CE4968">
        <w:tc>
          <w:tcPr>
            <w:tcW w:w="9242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b/>
                <w:sz w:val="20"/>
              </w:rPr>
            </w:pPr>
            <w:r w:rsidRPr="00CE4968">
              <w:rPr>
                <w:rFonts w:eastAsia="Calibri" w:cs="Arial"/>
                <w:b/>
                <w:sz w:val="20"/>
              </w:rPr>
              <w:t>Hepatitis B</w:t>
            </w:r>
          </w:p>
        </w:tc>
      </w:tr>
    </w:tbl>
    <w:p w:rsidR="001414C4" w:rsidRDefault="001414C4" w:rsidP="001414C4">
      <w:pPr>
        <w:rPr>
          <w:rFonts w:cs="Arial"/>
          <w:sz w:val="20"/>
        </w:rPr>
      </w:pPr>
    </w:p>
    <w:p w:rsidR="001414C4" w:rsidRDefault="001414C4" w:rsidP="001414C4">
      <w:pPr>
        <w:rPr>
          <w:rFonts w:cs="Arial"/>
          <w:sz w:val="20"/>
        </w:rPr>
      </w:pPr>
      <w:r>
        <w:rPr>
          <w:rFonts w:cs="Arial"/>
          <w:sz w:val="20"/>
        </w:rPr>
        <w:t>Initial 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235"/>
      </w:tblGrid>
      <w:tr w:rsidR="001414C4" w:rsidTr="00CE4968"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  <w:r w:rsidRPr="00CE4968">
              <w:rPr>
                <w:rFonts w:eastAsia="Calibri" w:cs="Arial"/>
                <w:sz w:val="20"/>
              </w:rPr>
              <w:t>Date of 1st injection</w:t>
            </w:r>
          </w:p>
        </w:tc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  <w:r w:rsidRPr="00CE4968">
              <w:rPr>
                <w:rFonts w:eastAsia="Calibri" w:cs="Arial"/>
                <w:sz w:val="20"/>
              </w:rPr>
              <w:t>Date:</w:t>
            </w:r>
          </w:p>
        </w:tc>
      </w:tr>
      <w:tr w:rsidR="001414C4" w:rsidTr="00CE4968"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  <w:r w:rsidRPr="00CE4968">
              <w:rPr>
                <w:rFonts w:eastAsia="Calibri" w:cs="Arial"/>
                <w:sz w:val="20"/>
              </w:rPr>
              <w:t>Date of 2nd injection</w:t>
            </w:r>
          </w:p>
        </w:tc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  <w:r w:rsidRPr="00CE4968">
              <w:rPr>
                <w:rFonts w:eastAsia="Calibri" w:cs="Arial"/>
                <w:sz w:val="20"/>
              </w:rPr>
              <w:t>Date:</w:t>
            </w:r>
          </w:p>
        </w:tc>
      </w:tr>
      <w:tr w:rsidR="001414C4" w:rsidTr="00CE4968"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  <w:r w:rsidRPr="00CE4968">
              <w:rPr>
                <w:rFonts w:eastAsia="Calibri" w:cs="Arial"/>
                <w:sz w:val="20"/>
              </w:rPr>
              <w:t>Date of 3</w:t>
            </w:r>
            <w:r w:rsidRPr="00CE4968">
              <w:rPr>
                <w:rFonts w:eastAsia="Calibri" w:cs="Arial"/>
                <w:sz w:val="20"/>
                <w:vertAlign w:val="superscript"/>
              </w:rPr>
              <w:t>rd</w:t>
            </w:r>
            <w:r w:rsidRPr="00CE4968">
              <w:rPr>
                <w:rFonts w:eastAsia="Calibri" w:cs="Arial"/>
                <w:sz w:val="20"/>
              </w:rPr>
              <w:t xml:space="preserve"> injection</w:t>
            </w:r>
          </w:p>
        </w:tc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0"/>
              </w:rPr>
            </w:pPr>
            <w:r w:rsidRPr="00CE4968">
              <w:rPr>
                <w:rFonts w:eastAsia="Calibri" w:cs="Arial"/>
                <w:sz w:val="20"/>
              </w:rPr>
              <w:t>Date:</w:t>
            </w:r>
          </w:p>
        </w:tc>
      </w:tr>
    </w:tbl>
    <w:p w:rsidR="001414C4" w:rsidRDefault="001414C4" w:rsidP="001414C4">
      <w:pPr>
        <w:rPr>
          <w:rFonts w:cs="Arial"/>
          <w:sz w:val="20"/>
        </w:rPr>
      </w:pPr>
    </w:p>
    <w:p w:rsidR="001414C4" w:rsidRPr="00C33949" w:rsidRDefault="001414C4" w:rsidP="001414C4">
      <w:pPr>
        <w:rPr>
          <w:rFonts w:cs="Arial"/>
          <w:sz w:val="20"/>
        </w:rPr>
      </w:pPr>
      <w:r>
        <w:rPr>
          <w:rFonts w:cs="Arial"/>
          <w:sz w:val="20"/>
        </w:rPr>
        <w:t>Subsequent Hepatitis B booster vaccinations (if any)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7"/>
      </w:tblGrid>
      <w:tr w:rsidR="001414C4" w:rsidTr="00CE4968"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Date of 1</w:t>
            </w:r>
            <w:r w:rsidRPr="00CE4968">
              <w:rPr>
                <w:rFonts w:eastAsia="Calibri" w:cs="Arial"/>
                <w:sz w:val="22"/>
                <w:szCs w:val="22"/>
                <w:vertAlign w:val="superscript"/>
              </w:rPr>
              <w:t>st</w:t>
            </w:r>
            <w:r w:rsidRPr="00CE4968">
              <w:rPr>
                <w:rFonts w:eastAsia="Calibri" w:cs="Arial"/>
                <w:sz w:val="22"/>
                <w:szCs w:val="22"/>
              </w:rPr>
              <w:t xml:space="preserve"> booster</w:t>
            </w:r>
          </w:p>
        </w:tc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Date</w:t>
            </w:r>
            <w:r w:rsidRPr="00CE4968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1414C4" w:rsidTr="00CE4968"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Date of 2</w:t>
            </w:r>
            <w:r w:rsidRPr="00CE4968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CE4968">
              <w:rPr>
                <w:rFonts w:eastAsia="Calibri" w:cs="Arial"/>
                <w:sz w:val="22"/>
                <w:szCs w:val="22"/>
              </w:rPr>
              <w:t xml:space="preserve"> booster</w:t>
            </w:r>
          </w:p>
        </w:tc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Date:</w:t>
            </w:r>
          </w:p>
        </w:tc>
      </w:tr>
      <w:tr w:rsidR="001414C4" w:rsidTr="00CE4968"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Date of 3</w:t>
            </w:r>
            <w:r w:rsidRPr="00CE4968">
              <w:rPr>
                <w:rFonts w:eastAsia="Calibri" w:cs="Arial"/>
                <w:sz w:val="22"/>
                <w:szCs w:val="22"/>
                <w:vertAlign w:val="superscript"/>
              </w:rPr>
              <w:t>rd</w:t>
            </w:r>
            <w:r w:rsidRPr="00CE4968">
              <w:rPr>
                <w:rFonts w:eastAsia="Calibri" w:cs="Arial"/>
                <w:sz w:val="22"/>
                <w:szCs w:val="22"/>
              </w:rPr>
              <w:t xml:space="preserve"> booster</w:t>
            </w:r>
          </w:p>
        </w:tc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Date:</w:t>
            </w:r>
          </w:p>
        </w:tc>
      </w:tr>
    </w:tbl>
    <w:p w:rsidR="001414C4" w:rsidRDefault="001414C4" w:rsidP="001414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9"/>
        <w:gridCol w:w="4216"/>
      </w:tblGrid>
      <w:tr w:rsidR="001414C4" w:rsidTr="00CE4968"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Have you had serial blood tests following Hepatitis B Vaccination?  If so what was the result and when was the last blood test?</w:t>
            </w:r>
          </w:p>
        </w:tc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 w:cs="Arial"/>
                <w:b/>
                <w:sz w:val="22"/>
                <w:szCs w:val="22"/>
              </w:rPr>
            </w:pPr>
            <w:r w:rsidRPr="00CE4968">
              <w:rPr>
                <w:rFonts w:eastAsia="Calibri" w:cs="Arial"/>
                <w:b/>
                <w:sz w:val="22"/>
                <w:szCs w:val="22"/>
              </w:rPr>
              <w:t xml:space="preserve">Date of last blood test:  </w:t>
            </w:r>
          </w:p>
          <w:p w:rsidR="001414C4" w:rsidRPr="00CE4968" w:rsidRDefault="001414C4" w:rsidP="00CE4968">
            <w:pPr>
              <w:rPr>
                <w:rFonts w:eastAsia="Calibri"/>
                <w:sz w:val="22"/>
                <w:szCs w:val="22"/>
              </w:rPr>
            </w:pPr>
          </w:p>
          <w:p w:rsidR="001414C4" w:rsidRPr="00CE4968" w:rsidRDefault="001414C4" w:rsidP="00CE4968">
            <w:pPr>
              <w:rPr>
                <w:rFonts w:eastAsia="Calibri" w:cs="Arial"/>
                <w:b/>
                <w:sz w:val="22"/>
                <w:szCs w:val="22"/>
              </w:rPr>
            </w:pPr>
            <w:r w:rsidRPr="00CE4968">
              <w:rPr>
                <w:rFonts w:eastAsia="Calibri" w:cs="Arial"/>
                <w:b/>
                <w:sz w:val="22"/>
                <w:szCs w:val="22"/>
              </w:rPr>
              <w:t>Blood test result:</w:t>
            </w:r>
          </w:p>
        </w:tc>
      </w:tr>
    </w:tbl>
    <w:p w:rsidR="001414C4" w:rsidRDefault="001414C4" w:rsidP="001414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  <w:gridCol w:w="4224"/>
      </w:tblGrid>
      <w:tr w:rsidR="001414C4" w:rsidTr="00CE4968"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/>
                <w:sz w:val="22"/>
                <w:szCs w:val="22"/>
              </w:rPr>
            </w:pPr>
          </w:p>
          <w:p w:rsidR="001414C4" w:rsidRPr="00CE4968" w:rsidRDefault="001414C4" w:rsidP="00CE4968">
            <w:pPr>
              <w:rPr>
                <w:rFonts w:eastAsia="Calibri" w:cs="Arial"/>
                <w:sz w:val="22"/>
                <w:szCs w:val="22"/>
              </w:rPr>
            </w:pPr>
            <w:r w:rsidRPr="00CE4968">
              <w:rPr>
                <w:rFonts w:eastAsia="Calibri" w:cs="Arial"/>
                <w:sz w:val="22"/>
                <w:szCs w:val="22"/>
              </w:rPr>
              <w:t>Signature:</w:t>
            </w:r>
          </w:p>
          <w:p w:rsidR="001414C4" w:rsidRPr="00CE4968" w:rsidRDefault="001414C4" w:rsidP="00CE49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414C4" w:rsidRPr="00CE4968" w:rsidRDefault="001414C4" w:rsidP="00CE4968">
            <w:pPr>
              <w:rPr>
                <w:rFonts w:eastAsia="Calibri"/>
                <w:sz w:val="22"/>
                <w:szCs w:val="22"/>
              </w:rPr>
            </w:pPr>
          </w:p>
          <w:p w:rsidR="001414C4" w:rsidRPr="00CE4968" w:rsidRDefault="001414C4" w:rsidP="00CE4968">
            <w:pPr>
              <w:rPr>
                <w:rFonts w:eastAsia="Calibri"/>
                <w:b/>
                <w:sz w:val="22"/>
                <w:szCs w:val="22"/>
              </w:rPr>
            </w:pPr>
            <w:r w:rsidRPr="00CE4968">
              <w:rPr>
                <w:rFonts w:eastAsia="Calibri"/>
                <w:b/>
                <w:sz w:val="22"/>
                <w:szCs w:val="22"/>
              </w:rPr>
              <w:t>Date:</w:t>
            </w:r>
          </w:p>
        </w:tc>
      </w:tr>
    </w:tbl>
    <w:p w:rsidR="0072138A" w:rsidRDefault="0072138A" w:rsidP="008B34B4">
      <w:pPr>
        <w:rPr>
          <w:rFonts w:cs="Arial"/>
          <w:b/>
          <w:sz w:val="20"/>
        </w:rPr>
        <w:sectPr w:rsidR="0072138A" w:rsidSect="001414C4">
          <w:pgSz w:w="11907" w:h="16840"/>
          <w:pgMar w:top="1418" w:right="1701" w:bottom="851" w:left="1701" w:header="0" w:footer="162" w:gutter="0"/>
          <w:cols w:space="720"/>
          <w:docGrid w:linePitch="326"/>
        </w:sectPr>
      </w:pPr>
    </w:p>
    <w:p w:rsidR="0012522F" w:rsidRDefault="0012522F" w:rsidP="00915262">
      <w:pPr>
        <w:rPr>
          <w:rStyle w:val="apple-converted-space"/>
          <w:rFonts w:cs="Arial"/>
          <w:sz w:val="22"/>
          <w:szCs w:val="22"/>
          <w:shd w:val="clear" w:color="auto" w:fill="FFFFFF"/>
        </w:rPr>
      </w:pPr>
    </w:p>
    <w:sectPr w:rsidR="0012522F" w:rsidSect="00507D29">
      <w:pgSz w:w="16840" w:h="11907" w:orient="landscape"/>
      <w:pgMar w:top="1701" w:right="1418" w:bottom="1701" w:left="851" w:header="0" w:footer="1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D54" w:rsidRDefault="00564D54">
      <w:r>
        <w:separator/>
      </w:r>
    </w:p>
  </w:endnote>
  <w:endnote w:type="continuationSeparator" w:id="0">
    <w:p w:rsidR="00564D54" w:rsidRDefault="0056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1F" w:rsidRDefault="00F50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3AC" w:rsidRDefault="005423AC" w:rsidP="005423AC">
    <w:pPr>
      <w:pStyle w:val="Footer"/>
      <w:rPr>
        <w:sz w:val="16"/>
      </w:rPr>
    </w:pPr>
    <w:r w:rsidRPr="005423AC">
      <w:rPr>
        <w:sz w:val="16"/>
      </w:rPr>
      <w:t>O</w:t>
    </w:r>
    <w:r w:rsidR="00915262">
      <w:rPr>
        <w:sz w:val="16"/>
      </w:rPr>
      <w:t>BU</w:t>
    </w:r>
    <w:r w:rsidRPr="005423AC">
      <w:rPr>
        <w:sz w:val="16"/>
      </w:rPr>
      <w:t>/</w:t>
    </w:r>
    <w:r w:rsidR="00915262">
      <w:rPr>
        <w:sz w:val="16"/>
      </w:rPr>
      <w:t>PF/</w:t>
    </w:r>
    <w:r w:rsidRPr="005423AC">
      <w:rPr>
        <w:sz w:val="16"/>
      </w:rPr>
      <w:t>Health Surv/Hep B Policy/</w:t>
    </w:r>
    <w:r w:rsidR="00915262">
      <w:rPr>
        <w:sz w:val="16"/>
      </w:rPr>
      <w:t>V1/Prepared by CR October 2015</w:t>
    </w:r>
  </w:p>
  <w:p w:rsidR="007966BA" w:rsidRDefault="007966BA" w:rsidP="005423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9BB">
      <w:rPr>
        <w:noProof/>
      </w:rPr>
      <w:t>9</w:t>
    </w:r>
    <w:r>
      <w:rPr>
        <w:noProof/>
      </w:rPr>
      <w:fldChar w:fldCharType="end"/>
    </w:r>
  </w:p>
  <w:p w:rsidR="00CE3845" w:rsidRDefault="00CE38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22" w:rsidRDefault="00B46722" w:rsidP="00B46722">
    <w:pPr>
      <w:pStyle w:val="Footer"/>
      <w:rPr>
        <w:sz w:val="16"/>
      </w:rPr>
    </w:pPr>
    <w:r w:rsidRPr="005423AC">
      <w:rPr>
        <w:sz w:val="16"/>
      </w:rPr>
      <w:t>O</w:t>
    </w:r>
    <w:r>
      <w:rPr>
        <w:sz w:val="16"/>
      </w:rPr>
      <w:t>BU</w:t>
    </w:r>
    <w:r w:rsidRPr="005423AC">
      <w:rPr>
        <w:sz w:val="16"/>
      </w:rPr>
      <w:t>/</w:t>
    </w:r>
    <w:r>
      <w:rPr>
        <w:sz w:val="16"/>
      </w:rPr>
      <w:t>PF/</w:t>
    </w:r>
    <w:r w:rsidRPr="005423AC">
      <w:rPr>
        <w:sz w:val="16"/>
      </w:rPr>
      <w:t>Health Surv/Hep B Policy/</w:t>
    </w:r>
    <w:r w:rsidR="00F5041F">
      <w:rPr>
        <w:sz w:val="16"/>
      </w:rPr>
      <w:t>V1</w:t>
    </w:r>
    <w:r w:rsidR="008E509D">
      <w:rPr>
        <w:sz w:val="16"/>
      </w:rPr>
      <w:t xml:space="preserve">/Updated </w:t>
    </w:r>
    <w:r>
      <w:rPr>
        <w:sz w:val="16"/>
      </w:rPr>
      <w:t xml:space="preserve">by CR </w:t>
    </w:r>
    <w:r w:rsidR="008E509D">
      <w:rPr>
        <w:sz w:val="16"/>
      </w:rPr>
      <w:t xml:space="preserve">/ </w:t>
    </w:r>
    <w:proofErr w:type="gramStart"/>
    <w:r w:rsidR="003138FA">
      <w:rPr>
        <w:sz w:val="16"/>
      </w:rPr>
      <w:t>Approved  Central</w:t>
    </w:r>
    <w:proofErr w:type="gramEnd"/>
    <w:r w:rsidR="003138FA">
      <w:rPr>
        <w:sz w:val="16"/>
      </w:rPr>
      <w:t xml:space="preserve"> H &amp; S Committee 16 </w:t>
    </w:r>
    <w:r>
      <w:rPr>
        <w:sz w:val="16"/>
      </w:rPr>
      <w:t>October 2015</w:t>
    </w:r>
  </w:p>
  <w:p w:rsidR="00CE3845" w:rsidRPr="00B46722" w:rsidRDefault="00CE3845" w:rsidP="00B4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D54" w:rsidRDefault="00564D54">
      <w:r>
        <w:separator/>
      </w:r>
    </w:p>
  </w:footnote>
  <w:footnote w:type="continuationSeparator" w:id="0">
    <w:p w:rsidR="00564D54" w:rsidRDefault="00564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1F" w:rsidRDefault="00F50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BB" w:rsidRDefault="00B150BB" w:rsidP="00823764">
    <w:pPr>
      <w:pStyle w:val="Header"/>
      <w:jc w:val="center"/>
    </w:pPr>
  </w:p>
  <w:p w:rsidR="00B150BB" w:rsidRDefault="00B150BB" w:rsidP="00B150BB">
    <w:pPr>
      <w:pStyle w:val="Header"/>
      <w:jc w:val="center"/>
    </w:pPr>
  </w:p>
  <w:p w:rsidR="00B150BB" w:rsidRDefault="00B150BB" w:rsidP="00B150BB">
    <w:pPr>
      <w:pStyle w:val="Header"/>
      <w:jc w:val="center"/>
    </w:pPr>
  </w:p>
  <w:p w:rsidR="00B150BB" w:rsidRPr="00B150BB" w:rsidRDefault="00B150BB" w:rsidP="00044549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45" w:rsidRDefault="000F7AA9">
    <w:r>
      <w:rPr>
        <w:noProof/>
        <w:sz w:val="20"/>
        <w:lang w:eastAsia="en-GB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5414645</wp:posOffset>
          </wp:positionH>
          <wp:positionV relativeFrom="page">
            <wp:posOffset>642620</wp:posOffset>
          </wp:positionV>
          <wp:extent cx="1508760" cy="601980"/>
          <wp:effectExtent l="0" t="0" r="0" b="0"/>
          <wp:wrapNone/>
          <wp:docPr id="79" name="Picture 79" descr="Logo_01_USETHIS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Logo_01_USETHIS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AE04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3" w15:restartNumberingAfterBreak="0">
    <w:nsid w:val="09DD170A"/>
    <w:multiLevelType w:val="hybridMultilevel"/>
    <w:tmpl w:val="4364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472D"/>
    <w:multiLevelType w:val="hybridMultilevel"/>
    <w:tmpl w:val="51D82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2C60"/>
    <w:multiLevelType w:val="hybridMultilevel"/>
    <w:tmpl w:val="1B6EB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0BC"/>
    <w:multiLevelType w:val="multilevel"/>
    <w:tmpl w:val="7804B6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802402"/>
    <w:multiLevelType w:val="multilevel"/>
    <w:tmpl w:val="577803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A33CAB"/>
    <w:multiLevelType w:val="hybridMultilevel"/>
    <w:tmpl w:val="F88CA3B2"/>
    <w:lvl w:ilvl="0" w:tplc="EC1A4678">
      <w:start w:val="9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158A"/>
    <w:multiLevelType w:val="hybridMultilevel"/>
    <w:tmpl w:val="17E89B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1464BB2"/>
    <w:multiLevelType w:val="hybridMultilevel"/>
    <w:tmpl w:val="50286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56D0A"/>
    <w:multiLevelType w:val="multilevel"/>
    <w:tmpl w:val="55DA2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875908"/>
    <w:multiLevelType w:val="hybridMultilevel"/>
    <w:tmpl w:val="B0EE19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25FC6"/>
    <w:multiLevelType w:val="hybridMultilevel"/>
    <w:tmpl w:val="FB06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C63BA"/>
    <w:multiLevelType w:val="hybridMultilevel"/>
    <w:tmpl w:val="33EC5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255FF"/>
    <w:multiLevelType w:val="hybridMultilevel"/>
    <w:tmpl w:val="E34A3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470D69"/>
    <w:multiLevelType w:val="hybridMultilevel"/>
    <w:tmpl w:val="321A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960E1"/>
    <w:multiLevelType w:val="hybridMultilevel"/>
    <w:tmpl w:val="0638E832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C0A7B"/>
    <w:multiLevelType w:val="hybridMultilevel"/>
    <w:tmpl w:val="432A0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9447F"/>
    <w:multiLevelType w:val="hybridMultilevel"/>
    <w:tmpl w:val="F8BA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930A7"/>
    <w:multiLevelType w:val="hybridMultilevel"/>
    <w:tmpl w:val="75802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43F6B"/>
    <w:multiLevelType w:val="hybridMultilevel"/>
    <w:tmpl w:val="39E20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85414"/>
    <w:multiLevelType w:val="hybridMultilevel"/>
    <w:tmpl w:val="029EDA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10AAE"/>
    <w:multiLevelType w:val="multilevel"/>
    <w:tmpl w:val="EEB891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C65AC3"/>
    <w:multiLevelType w:val="multilevel"/>
    <w:tmpl w:val="58B2F7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722658"/>
    <w:multiLevelType w:val="hybridMultilevel"/>
    <w:tmpl w:val="51B04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21"/>
  </w:num>
  <w:num w:numId="5">
    <w:abstractNumId w:val="14"/>
  </w:num>
  <w:num w:numId="6">
    <w:abstractNumId w:val="3"/>
  </w:num>
  <w:num w:numId="7">
    <w:abstractNumId w:val="5"/>
  </w:num>
  <w:num w:numId="8">
    <w:abstractNumId w:val="8"/>
  </w:num>
  <w:num w:numId="9">
    <w:abstractNumId w:val="25"/>
  </w:num>
  <w:num w:numId="10">
    <w:abstractNumId w:val="9"/>
  </w:num>
  <w:num w:numId="11">
    <w:abstractNumId w:val="19"/>
  </w:num>
  <w:num w:numId="12">
    <w:abstractNumId w:val="10"/>
  </w:num>
  <w:num w:numId="13">
    <w:abstractNumId w:val="16"/>
  </w:num>
  <w:num w:numId="14">
    <w:abstractNumId w:val="20"/>
  </w:num>
  <w:num w:numId="15">
    <w:abstractNumId w:val="15"/>
  </w:num>
  <w:num w:numId="16">
    <w:abstractNumId w:val="12"/>
  </w:num>
  <w:num w:numId="17">
    <w:abstractNumId w:val="4"/>
  </w:num>
  <w:num w:numId="18">
    <w:abstractNumId w:val="18"/>
  </w:num>
  <w:num w:numId="19">
    <w:abstractNumId w:val="6"/>
  </w:num>
  <w:num w:numId="20">
    <w:abstractNumId w:val="11"/>
  </w:num>
  <w:num w:numId="21">
    <w:abstractNumId w:val="22"/>
  </w:num>
  <w:num w:numId="22">
    <w:abstractNumId w:val="17"/>
  </w:num>
  <w:num w:numId="23">
    <w:abstractNumId w:val="24"/>
  </w:num>
  <w:num w:numId="24">
    <w:abstractNumId w:val="7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BB"/>
    <w:rsid w:val="00017842"/>
    <w:rsid w:val="00030079"/>
    <w:rsid w:val="00032408"/>
    <w:rsid w:val="00044549"/>
    <w:rsid w:val="00062647"/>
    <w:rsid w:val="000913A4"/>
    <w:rsid w:val="000927F0"/>
    <w:rsid w:val="000B47B1"/>
    <w:rsid w:val="000D0164"/>
    <w:rsid w:val="000F7AA9"/>
    <w:rsid w:val="0012522F"/>
    <w:rsid w:val="00127547"/>
    <w:rsid w:val="001414C4"/>
    <w:rsid w:val="0016113D"/>
    <w:rsid w:val="001629E4"/>
    <w:rsid w:val="001D47B1"/>
    <w:rsid w:val="001D6DAB"/>
    <w:rsid w:val="002049EE"/>
    <w:rsid w:val="00205AA9"/>
    <w:rsid w:val="00214829"/>
    <w:rsid w:val="002217DA"/>
    <w:rsid w:val="00223FF5"/>
    <w:rsid w:val="002369BB"/>
    <w:rsid w:val="00236FE7"/>
    <w:rsid w:val="002743CD"/>
    <w:rsid w:val="002C4E60"/>
    <w:rsid w:val="002C5150"/>
    <w:rsid w:val="003108ED"/>
    <w:rsid w:val="003138FA"/>
    <w:rsid w:val="0032554A"/>
    <w:rsid w:val="00346D87"/>
    <w:rsid w:val="003710DD"/>
    <w:rsid w:val="003754E0"/>
    <w:rsid w:val="003852E9"/>
    <w:rsid w:val="00396825"/>
    <w:rsid w:val="003C33F2"/>
    <w:rsid w:val="003F2E0B"/>
    <w:rsid w:val="00452040"/>
    <w:rsid w:val="00495A9B"/>
    <w:rsid w:val="004A5CB9"/>
    <w:rsid w:val="004A70BE"/>
    <w:rsid w:val="0050607F"/>
    <w:rsid w:val="00507400"/>
    <w:rsid w:val="00507D29"/>
    <w:rsid w:val="00516DC6"/>
    <w:rsid w:val="00530C61"/>
    <w:rsid w:val="005423AC"/>
    <w:rsid w:val="005569C7"/>
    <w:rsid w:val="00564D54"/>
    <w:rsid w:val="00570418"/>
    <w:rsid w:val="005A0C76"/>
    <w:rsid w:val="005B115C"/>
    <w:rsid w:val="005B119F"/>
    <w:rsid w:val="005B2FFE"/>
    <w:rsid w:val="005C13BA"/>
    <w:rsid w:val="005E3FF8"/>
    <w:rsid w:val="00603E1A"/>
    <w:rsid w:val="00633510"/>
    <w:rsid w:val="00650C7F"/>
    <w:rsid w:val="00682BDF"/>
    <w:rsid w:val="006A7280"/>
    <w:rsid w:val="006D21CC"/>
    <w:rsid w:val="006D7D0E"/>
    <w:rsid w:val="006F0153"/>
    <w:rsid w:val="006F1389"/>
    <w:rsid w:val="0072138A"/>
    <w:rsid w:val="00733E94"/>
    <w:rsid w:val="007421F5"/>
    <w:rsid w:val="0075137A"/>
    <w:rsid w:val="0076173F"/>
    <w:rsid w:val="00793690"/>
    <w:rsid w:val="007966BA"/>
    <w:rsid w:val="007C53AC"/>
    <w:rsid w:val="007D0DB4"/>
    <w:rsid w:val="007D1DE8"/>
    <w:rsid w:val="007E094A"/>
    <w:rsid w:val="007E0F2B"/>
    <w:rsid w:val="007F3291"/>
    <w:rsid w:val="00810874"/>
    <w:rsid w:val="00823764"/>
    <w:rsid w:val="008529A4"/>
    <w:rsid w:val="0089788C"/>
    <w:rsid w:val="008B34B4"/>
    <w:rsid w:val="008D37E5"/>
    <w:rsid w:val="008E509D"/>
    <w:rsid w:val="008E6FF4"/>
    <w:rsid w:val="00915262"/>
    <w:rsid w:val="00937679"/>
    <w:rsid w:val="00940AEA"/>
    <w:rsid w:val="009469EF"/>
    <w:rsid w:val="009535CF"/>
    <w:rsid w:val="00976706"/>
    <w:rsid w:val="0098235B"/>
    <w:rsid w:val="00983EAA"/>
    <w:rsid w:val="009C1C95"/>
    <w:rsid w:val="009D263E"/>
    <w:rsid w:val="009F7AF8"/>
    <w:rsid w:val="00A043E5"/>
    <w:rsid w:val="00A0723F"/>
    <w:rsid w:val="00A209AD"/>
    <w:rsid w:val="00A25AA3"/>
    <w:rsid w:val="00A33024"/>
    <w:rsid w:val="00A418B3"/>
    <w:rsid w:val="00A55E30"/>
    <w:rsid w:val="00AA515F"/>
    <w:rsid w:val="00AC6C13"/>
    <w:rsid w:val="00AD7B8D"/>
    <w:rsid w:val="00AF0F41"/>
    <w:rsid w:val="00B128BB"/>
    <w:rsid w:val="00B150BB"/>
    <w:rsid w:val="00B245E5"/>
    <w:rsid w:val="00B320E6"/>
    <w:rsid w:val="00B364E2"/>
    <w:rsid w:val="00B46722"/>
    <w:rsid w:val="00B9107A"/>
    <w:rsid w:val="00B94039"/>
    <w:rsid w:val="00BC0FC8"/>
    <w:rsid w:val="00BD367E"/>
    <w:rsid w:val="00C26865"/>
    <w:rsid w:val="00C36C3B"/>
    <w:rsid w:val="00C375E1"/>
    <w:rsid w:val="00C64635"/>
    <w:rsid w:val="00CB2F22"/>
    <w:rsid w:val="00CD2240"/>
    <w:rsid w:val="00CE3845"/>
    <w:rsid w:val="00CE4968"/>
    <w:rsid w:val="00D109C0"/>
    <w:rsid w:val="00D138D6"/>
    <w:rsid w:val="00D62A14"/>
    <w:rsid w:val="00D81926"/>
    <w:rsid w:val="00D90969"/>
    <w:rsid w:val="00DC7EC4"/>
    <w:rsid w:val="00DD2598"/>
    <w:rsid w:val="00DD30D7"/>
    <w:rsid w:val="00E01039"/>
    <w:rsid w:val="00E5799F"/>
    <w:rsid w:val="00E57CF6"/>
    <w:rsid w:val="00E62CFC"/>
    <w:rsid w:val="00E7132B"/>
    <w:rsid w:val="00E745E3"/>
    <w:rsid w:val="00E83E1F"/>
    <w:rsid w:val="00E87FB6"/>
    <w:rsid w:val="00E9362D"/>
    <w:rsid w:val="00EA4EF5"/>
    <w:rsid w:val="00EA54AE"/>
    <w:rsid w:val="00EE21A3"/>
    <w:rsid w:val="00F023D1"/>
    <w:rsid w:val="00F3064B"/>
    <w:rsid w:val="00F5041F"/>
    <w:rsid w:val="00F8142F"/>
    <w:rsid w:val="00F83526"/>
    <w:rsid w:val="00FA4B43"/>
    <w:rsid w:val="00FD3C93"/>
    <w:rsid w:val="00FE32DF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547B4A-519A-4A43-8CB7-395D155A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B94039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apple-converted-space">
    <w:name w:val="apple-converted-space"/>
    <w:rsid w:val="00205AA9"/>
  </w:style>
  <w:style w:type="character" w:customStyle="1" w:styleId="FooterChar">
    <w:name w:val="Footer Char"/>
    <w:link w:val="Footer"/>
    <w:uiPriority w:val="99"/>
    <w:rsid w:val="007966BA"/>
    <w:rPr>
      <w:rFonts w:ascii="Arial" w:hAnsi="Arial"/>
      <w:sz w:val="24"/>
      <w:lang w:eastAsia="en-US"/>
    </w:rPr>
  </w:style>
  <w:style w:type="table" w:styleId="TableGrid">
    <w:name w:val="Table Grid"/>
    <w:basedOn w:val="TableNormal"/>
    <w:uiPriority w:val="59"/>
    <w:rsid w:val="00B150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lorfulList-Accent1">
    <w:name w:val="Colorful List Accent 1"/>
    <w:basedOn w:val="Normal"/>
    <w:uiPriority w:val="34"/>
    <w:qFormat/>
    <w:rsid w:val="00B150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EB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23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aporat@brookes.ac.uk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235B4-190F-4A4A-86A0-66734790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Oxford Brookes University</Company>
  <LinksUpToDate>false</LinksUpToDate>
  <CharactersWithSpaces>18388</CharactersWithSpaces>
  <SharedDoc>false</SharedDoc>
  <HLinks>
    <vt:vector size="12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mailto:aporat@brookes.ac.uk</vt:lpwstr>
      </vt:variant>
      <vt:variant>
        <vt:lpwstr/>
      </vt:variant>
      <vt:variant>
        <vt:i4>720896</vt:i4>
      </vt:variant>
      <vt:variant>
        <vt:i4>-1</vt:i4>
      </vt:variant>
      <vt:variant>
        <vt:i4>2127</vt:i4>
      </vt:variant>
      <vt:variant>
        <vt:i4>1</vt:i4>
      </vt:variant>
      <vt:variant>
        <vt:lpwstr>Logo_01_USETHISONE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subject/>
  <dc:creator>James Franklin</dc:creator>
  <cp:keywords/>
  <cp:lastModifiedBy>Jenna Hilsdon</cp:lastModifiedBy>
  <cp:revision>2</cp:revision>
  <cp:lastPrinted>2016-03-10T10:19:00Z</cp:lastPrinted>
  <dcterms:created xsi:type="dcterms:W3CDTF">2022-11-18T10:28:00Z</dcterms:created>
  <dcterms:modified xsi:type="dcterms:W3CDTF">2022-11-18T10:28:00Z</dcterms:modified>
</cp:coreProperties>
</file>