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98" w:rsidRPr="00B95EF6" w:rsidRDefault="00B82898" w:rsidP="00B82898">
      <w:pPr>
        <w:jc w:val="center"/>
        <w:rPr>
          <w:rFonts w:ascii="Arial" w:hAnsi="Arial" w:cs="Arial"/>
          <w:sz w:val="36"/>
          <w:szCs w:val="36"/>
        </w:rPr>
      </w:pPr>
      <w:r w:rsidRPr="00B95EF6">
        <w:rPr>
          <w:rFonts w:ascii="Arial" w:hAnsi="Arial" w:cs="Arial"/>
          <w:b/>
          <w:sz w:val="36"/>
          <w:szCs w:val="36"/>
        </w:rPr>
        <w:t>Request for exemption from dyslexia/</w:t>
      </w:r>
      <w:proofErr w:type="spellStart"/>
      <w:r w:rsidRPr="00B95EF6">
        <w:rPr>
          <w:rFonts w:ascii="Arial" w:hAnsi="Arial" w:cs="Arial"/>
          <w:b/>
          <w:sz w:val="36"/>
          <w:szCs w:val="36"/>
        </w:rPr>
        <w:t>spld</w:t>
      </w:r>
      <w:proofErr w:type="spellEnd"/>
      <w:r w:rsidRPr="00B95EF6">
        <w:rPr>
          <w:rFonts w:ascii="Arial" w:hAnsi="Arial" w:cs="Arial"/>
          <w:b/>
          <w:sz w:val="36"/>
          <w:szCs w:val="36"/>
        </w:rPr>
        <w:t xml:space="preserve"> marking concessions</w:t>
      </w:r>
    </w:p>
    <w:p w:rsidR="00B82898" w:rsidRDefault="00B82898" w:rsidP="00B82898">
      <w:pPr>
        <w:rPr>
          <w:rFonts w:ascii="Arial" w:hAnsi="Arial" w:cs="Arial"/>
        </w:rPr>
      </w:pPr>
    </w:p>
    <w:p w:rsidR="00B82898" w:rsidRDefault="00B82898" w:rsidP="00B82898">
      <w:pPr>
        <w:rPr>
          <w:rFonts w:ascii="Arial" w:hAnsi="Arial" w:cs="Arial"/>
        </w:rPr>
      </w:pPr>
    </w:p>
    <w:p w:rsidR="00B82898" w:rsidRDefault="00B82898" w:rsidP="00B82898">
      <w:r w:rsidRPr="00AD4842">
        <w:rPr>
          <w:rFonts w:ascii="Arial" w:hAnsi="Arial" w:cs="Arial"/>
        </w:rPr>
        <w:t>To comply with the terms of</w:t>
      </w:r>
      <w:r>
        <w:rPr>
          <w:rFonts w:ascii="Arial" w:hAnsi="Arial" w:cs="Arial"/>
        </w:rPr>
        <w:t xml:space="preserve"> equality legislation</w:t>
      </w:r>
      <w:bookmarkStart w:id="0" w:name="_GoBack"/>
      <w:bookmarkEnd w:id="0"/>
      <w:r w:rsidRPr="00AD4842">
        <w:rPr>
          <w:rFonts w:ascii="Arial" w:hAnsi="Arial" w:cs="Arial"/>
        </w:rPr>
        <w:t xml:space="preserve">, students with dyslexia and other specific learning difficulties should not be penalised for poor spelling, grammar or sentence structure.   Students </w:t>
      </w:r>
      <w:r>
        <w:rPr>
          <w:rFonts w:ascii="Arial" w:hAnsi="Arial" w:cs="Arial"/>
        </w:rPr>
        <w:t>registered for dyslexia/</w:t>
      </w:r>
      <w:proofErr w:type="spellStart"/>
      <w:r>
        <w:rPr>
          <w:rFonts w:ascii="Arial" w:hAnsi="Arial" w:cs="Arial"/>
        </w:rPr>
        <w:t>spld</w:t>
      </w:r>
      <w:proofErr w:type="spellEnd"/>
      <w:r>
        <w:rPr>
          <w:rFonts w:ascii="Arial" w:hAnsi="Arial" w:cs="Arial"/>
        </w:rPr>
        <w:t xml:space="preserve"> support </w:t>
      </w:r>
      <w:r w:rsidRPr="00AD4842">
        <w:rPr>
          <w:rFonts w:ascii="Arial" w:hAnsi="Arial" w:cs="Arial"/>
        </w:rPr>
        <w:t xml:space="preserve">are given blue cards to attach to their work </w:t>
      </w:r>
      <w:r>
        <w:rPr>
          <w:rFonts w:ascii="Arial" w:hAnsi="Arial" w:cs="Arial"/>
        </w:rPr>
        <w:t>to alert the marker to their dyslexia/</w:t>
      </w:r>
      <w:proofErr w:type="spellStart"/>
      <w:r>
        <w:rPr>
          <w:rFonts w:ascii="Arial" w:hAnsi="Arial" w:cs="Arial"/>
        </w:rPr>
        <w:t>spld</w:t>
      </w:r>
      <w:proofErr w:type="spellEnd"/>
      <w:r>
        <w:rPr>
          <w:rFonts w:ascii="Arial" w:hAnsi="Arial" w:cs="Arial"/>
        </w:rPr>
        <w:t xml:space="preserve"> so that appropriate concessions can be made</w:t>
      </w:r>
      <w:r w:rsidRPr="00AD4842">
        <w:rPr>
          <w:rFonts w:ascii="Arial" w:hAnsi="Arial" w:cs="Arial"/>
        </w:rPr>
        <w:t>.   For further information about marking the work of dyslexic/</w:t>
      </w:r>
      <w:proofErr w:type="spellStart"/>
      <w:r w:rsidRPr="00AD4842">
        <w:rPr>
          <w:rFonts w:ascii="Arial" w:hAnsi="Arial" w:cs="Arial"/>
        </w:rPr>
        <w:t>spld</w:t>
      </w:r>
      <w:proofErr w:type="spellEnd"/>
      <w:r w:rsidRPr="00AD4842">
        <w:rPr>
          <w:rFonts w:ascii="Arial" w:hAnsi="Arial" w:cs="Arial"/>
        </w:rPr>
        <w:t xml:space="preserve"> students, please see</w:t>
      </w:r>
      <w:r w:rsidRPr="002B0BDB">
        <w:t xml:space="preserve"> </w:t>
      </w:r>
      <w:hyperlink r:id="rId6" w:history="1">
        <w:proofErr w:type="gramStart"/>
        <w:r w:rsidR="00683629" w:rsidRPr="00683629">
          <w:rPr>
            <w:rStyle w:val="Hyperlink"/>
            <w:rFonts w:ascii="Arial" w:hAnsi="Arial" w:cs="Arial"/>
          </w:rPr>
          <w:t>Marking</w:t>
        </w:r>
        <w:proofErr w:type="gramEnd"/>
        <w:r w:rsidR="00683629" w:rsidRPr="00683629">
          <w:rPr>
            <w:rStyle w:val="Hyperlink"/>
            <w:rFonts w:ascii="Arial" w:hAnsi="Arial" w:cs="Arial"/>
          </w:rPr>
          <w:t xml:space="preserve"> work.</w:t>
        </w:r>
      </w:hyperlink>
    </w:p>
    <w:p w:rsidR="00683629" w:rsidRDefault="00683629" w:rsidP="00B82898"/>
    <w:p w:rsidR="00B82898" w:rsidRDefault="00B82898" w:rsidP="00B828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modules where academic standards </w:t>
      </w:r>
      <w:r w:rsidRPr="00AD4842">
        <w:rPr>
          <w:rFonts w:ascii="Arial" w:hAnsi="Arial" w:cs="Arial"/>
        </w:rPr>
        <w:t xml:space="preserve">would be compromised by </w:t>
      </w:r>
      <w:r>
        <w:rPr>
          <w:rFonts w:ascii="Arial" w:hAnsi="Arial" w:cs="Arial"/>
        </w:rPr>
        <w:t>applying dyslexia/</w:t>
      </w:r>
      <w:proofErr w:type="spellStart"/>
      <w:r>
        <w:rPr>
          <w:rFonts w:ascii="Arial" w:hAnsi="Arial" w:cs="Arial"/>
        </w:rPr>
        <w:t>spld</w:t>
      </w:r>
      <w:proofErr w:type="spellEnd"/>
      <w:r>
        <w:rPr>
          <w:rFonts w:ascii="Arial" w:hAnsi="Arial" w:cs="Arial"/>
        </w:rPr>
        <w:t xml:space="preserve"> marking concessions</w:t>
      </w:r>
      <w:r w:rsidRPr="00AD4842">
        <w:rPr>
          <w:rFonts w:ascii="Arial" w:hAnsi="Arial" w:cs="Arial"/>
        </w:rPr>
        <w:t>, exemption may be requested.   This is normally likely to apply only to modules specifically testing use of language – for example foreign language modules.</w:t>
      </w:r>
    </w:p>
    <w:p w:rsidR="00B82898" w:rsidRPr="00AD4842" w:rsidRDefault="00B82898" w:rsidP="00B82898">
      <w:pPr>
        <w:rPr>
          <w:rFonts w:ascii="Arial" w:hAnsi="Arial" w:cs="Arial"/>
        </w:rPr>
      </w:pPr>
    </w:p>
    <w:p w:rsidR="00B82898" w:rsidRPr="00AD4842" w:rsidRDefault="00B82898" w:rsidP="00B82898">
      <w:pPr>
        <w:rPr>
          <w:rFonts w:ascii="Arial" w:hAnsi="Arial" w:cs="Arial"/>
        </w:rPr>
      </w:pPr>
      <w:r w:rsidRPr="00AD4842">
        <w:rPr>
          <w:rFonts w:ascii="Arial" w:hAnsi="Arial" w:cs="Arial"/>
        </w:rPr>
        <w:t xml:space="preserve">Requests for exemption should be made </w:t>
      </w:r>
      <w:r>
        <w:rPr>
          <w:rFonts w:ascii="Arial" w:hAnsi="Arial" w:cs="Arial"/>
        </w:rPr>
        <w:t xml:space="preserve">on this form </w:t>
      </w:r>
      <w:r w:rsidRPr="00AD4842">
        <w:rPr>
          <w:rFonts w:ascii="Arial" w:hAnsi="Arial" w:cs="Arial"/>
        </w:rPr>
        <w:t xml:space="preserve">by the </w:t>
      </w:r>
      <w:r>
        <w:rPr>
          <w:rFonts w:ascii="Arial" w:hAnsi="Arial" w:cs="Arial"/>
        </w:rPr>
        <w:t>Programme Lead/Subject Co-ordinator</w:t>
      </w:r>
      <w:r w:rsidRPr="00AD4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Module Leader. You may find it helpful to seek the advice of the Head of the Disability and Dyslexia/</w:t>
      </w:r>
      <w:r w:rsidRPr="00235BC3">
        <w:rPr>
          <w:rFonts w:ascii="Arial" w:hAnsi="Arial" w:cs="Arial"/>
        </w:rPr>
        <w:t>SpLD Service when completing the form. Completed forms should then be submitted for approval by the Faculty committee responsible for learning &amp; teaching matters before being sent to the Head of Disability and Dyslexia/SpLD Service, who will liaise with the Committee Support Administrator in Academic and Student Affairs to arrange</w:t>
      </w:r>
      <w:r>
        <w:rPr>
          <w:rFonts w:ascii="Arial" w:hAnsi="Arial" w:cs="Arial"/>
        </w:rPr>
        <w:t xml:space="preserve"> consideration of exemption requests by</w:t>
      </w:r>
      <w:r w:rsidRPr="00AD4842">
        <w:rPr>
          <w:rFonts w:ascii="Arial" w:hAnsi="Arial" w:cs="Arial"/>
        </w:rPr>
        <w:t xml:space="preserve"> a panel consisting of </w:t>
      </w:r>
      <w:r>
        <w:rPr>
          <w:rFonts w:ascii="Arial" w:hAnsi="Arial" w:cs="Arial"/>
        </w:rPr>
        <w:t>the Deputy Vice Chancellor and other members of the Academic Enhancement and Standards Committee. This panel</w:t>
      </w:r>
      <w:r w:rsidRPr="00AD4842">
        <w:rPr>
          <w:rFonts w:ascii="Arial" w:hAnsi="Arial" w:cs="Arial"/>
        </w:rPr>
        <w:t xml:space="preserve"> will meet </w:t>
      </w:r>
      <w:r>
        <w:rPr>
          <w:rFonts w:ascii="Arial" w:hAnsi="Arial" w:cs="Arial"/>
        </w:rPr>
        <w:t>when required and Programme Leads will be notified of the decision of the panel meeting.</w:t>
      </w:r>
    </w:p>
    <w:p w:rsidR="00B82898" w:rsidRDefault="00B82898" w:rsidP="00B82898">
      <w:pPr>
        <w:rPr>
          <w:rFonts w:ascii="Arial" w:hAnsi="Arial" w:cs="Arial"/>
        </w:rPr>
      </w:pPr>
    </w:p>
    <w:p w:rsidR="00B82898" w:rsidRDefault="00B82898" w:rsidP="00B82898">
      <w:pPr>
        <w:rPr>
          <w:rFonts w:ascii="Arial" w:hAnsi="Arial" w:cs="Arial"/>
        </w:rPr>
      </w:pPr>
      <w:r>
        <w:rPr>
          <w:rFonts w:ascii="Arial" w:hAnsi="Arial" w:cs="Arial"/>
        </w:rPr>
        <w:t>In the first instance a meeting will be held in September to consider cases under this policy, thereafter a meeting will be held after the deadline for module changes.</w:t>
      </w:r>
    </w:p>
    <w:p w:rsidR="00B82898" w:rsidRPr="00AD4842" w:rsidRDefault="00B82898" w:rsidP="00B82898">
      <w:pPr>
        <w:rPr>
          <w:rFonts w:ascii="Arial" w:hAnsi="Arial" w:cs="Arial"/>
        </w:rPr>
      </w:pPr>
    </w:p>
    <w:p w:rsidR="00B82898" w:rsidRDefault="00B82898" w:rsidP="00B82898">
      <w:pPr>
        <w:rPr>
          <w:rFonts w:ascii="Arial" w:hAnsi="Arial" w:cs="Arial"/>
        </w:rPr>
      </w:pPr>
      <w:r w:rsidRPr="00EF1BA9">
        <w:rPr>
          <w:rFonts w:ascii="Arial" w:hAnsi="Arial" w:cs="Arial"/>
          <w:b/>
        </w:rPr>
        <w:t>If exemption is granted, the module description should include the information that dyslexia/</w:t>
      </w:r>
      <w:proofErr w:type="spellStart"/>
      <w:r w:rsidRPr="00EF1BA9">
        <w:rPr>
          <w:rFonts w:ascii="Arial" w:hAnsi="Arial" w:cs="Arial"/>
          <w:b/>
        </w:rPr>
        <w:t>spld</w:t>
      </w:r>
      <w:proofErr w:type="spellEnd"/>
      <w:r w:rsidRPr="00EF1BA9">
        <w:rPr>
          <w:rFonts w:ascii="Arial" w:hAnsi="Arial" w:cs="Arial"/>
          <w:b/>
        </w:rPr>
        <w:t xml:space="preserve"> marking concessions cannot be applied. </w:t>
      </w:r>
    </w:p>
    <w:p w:rsidR="00B82898" w:rsidRDefault="00B82898" w:rsidP="00B82898">
      <w:pPr>
        <w:rPr>
          <w:rFonts w:ascii="Arial" w:hAnsi="Arial" w:cs="Arial"/>
        </w:rPr>
      </w:pPr>
    </w:p>
    <w:p w:rsidR="00B82898" w:rsidRDefault="00B82898" w:rsidP="00B828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Module</w:t>
      </w:r>
      <w:r w:rsidRPr="00F94005">
        <w:rPr>
          <w:rFonts w:ascii="Arial" w:hAnsi="Arial" w:cs="Arial"/>
          <w:b/>
        </w:rPr>
        <w:t xml:space="preserve"> for which exemption is requested:</w:t>
      </w:r>
    </w:p>
    <w:p w:rsidR="00683629" w:rsidRPr="00AD4842" w:rsidRDefault="00683629" w:rsidP="00B82898">
      <w:pPr>
        <w:rPr>
          <w:rFonts w:ascii="Arial" w:hAnsi="Arial" w:cs="Arial"/>
        </w:rPr>
      </w:pPr>
    </w:p>
    <w:p w:rsidR="00B82898" w:rsidRPr="00AD4842" w:rsidRDefault="00B82898" w:rsidP="00B828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7191"/>
      </w:tblGrid>
      <w:tr w:rsidR="00B82898" w:rsidRPr="002E10F8" w:rsidTr="00683629">
        <w:tc>
          <w:tcPr>
            <w:tcW w:w="2840" w:type="dxa"/>
            <w:shd w:val="clear" w:color="auto" w:fill="auto"/>
          </w:tcPr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  <w:r w:rsidRPr="002E10F8">
              <w:rPr>
                <w:rFonts w:ascii="Arial" w:hAnsi="Arial" w:cs="Arial"/>
                <w:b/>
              </w:rPr>
              <w:t>Module number</w:t>
            </w: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91" w:type="dxa"/>
            <w:shd w:val="clear" w:color="auto" w:fill="auto"/>
          </w:tcPr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</w:tc>
      </w:tr>
      <w:tr w:rsidR="00B82898" w:rsidRPr="002E10F8" w:rsidTr="00683629">
        <w:tc>
          <w:tcPr>
            <w:tcW w:w="2840" w:type="dxa"/>
            <w:shd w:val="clear" w:color="auto" w:fill="auto"/>
          </w:tcPr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  <w:r w:rsidRPr="002E10F8">
              <w:rPr>
                <w:rFonts w:ascii="Arial" w:hAnsi="Arial" w:cs="Arial"/>
                <w:b/>
              </w:rPr>
              <w:t>Module name</w:t>
            </w: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91" w:type="dxa"/>
            <w:shd w:val="clear" w:color="auto" w:fill="auto"/>
          </w:tcPr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</w:tc>
      </w:tr>
      <w:tr w:rsidR="00B82898" w:rsidRPr="002E10F8" w:rsidTr="00683629">
        <w:tc>
          <w:tcPr>
            <w:tcW w:w="2840" w:type="dxa"/>
            <w:shd w:val="clear" w:color="auto" w:fill="auto"/>
          </w:tcPr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  <w:r w:rsidRPr="002E10F8">
              <w:rPr>
                <w:rFonts w:ascii="Arial" w:hAnsi="Arial" w:cs="Arial"/>
                <w:b/>
              </w:rPr>
              <w:t>Module leader</w:t>
            </w: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91" w:type="dxa"/>
            <w:shd w:val="clear" w:color="auto" w:fill="auto"/>
          </w:tcPr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</w:tc>
      </w:tr>
      <w:tr w:rsidR="00B82898" w:rsidRPr="002E10F8" w:rsidTr="00683629">
        <w:tc>
          <w:tcPr>
            <w:tcW w:w="2840" w:type="dxa"/>
            <w:shd w:val="clear" w:color="auto" w:fill="auto"/>
          </w:tcPr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  <w:r w:rsidRPr="002E10F8">
              <w:rPr>
                <w:rFonts w:ascii="Arial" w:hAnsi="Arial" w:cs="Arial"/>
                <w:b/>
              </w:rPr>
              <w:t>Programme Lead/Subject Co-ordinator</w:t>
            </w:r>
          </w:p>
        </w:tc>
        <w:tc>
          <w:tcPr>
            <w:tcW w:w="7191" w:type="dxa"/>
            <w:shd w:val="clear" w:color="auto" w:fill="auto"/>
          </w:tcPr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</w:tc>
      </w:tr>
    </w:tbl>
    <w:p w:rsidR="00B82898" w:rsidRDefault="00B82898" w:rsidP="00B82898"/>
    <w:p w:rsidR="00B82898" w:rsidRDefault="00B82898" w:rsidP="00B82898">
      <w:pPr>
        <w:rPr>
          <w:rFonts w:ascii="Arial" w:hAnsi="Arial" w:cs="Arial"/>
          <w:b/>
        </w:rPr>
      </w:pPr>
    </w:p>
    <w:p w:rsidR="00B82898" w:rsidRDefault="00B82898" w:rsidP="00B82898">
      <w:pPr>
        <w:rPr>
          <w:rFonts w:ascii="Arial" w:hAnsi="Arial" w:cs="Arial"/>
          <w:b/>
        </w:rPr>
      </w:pPr>
    </w:p>
    <w:p w:rsidR="00683629" w:rsidRDefault="00683629" w:rsidP="00B82898">
      <w:pPr>
        <w:rPr>
          <w:rFonts w:ascii="Arial" w:hAnsi="Arial" w:cs="Arial"/>
          <w:b/>
        </w:rPr>
      </w:pPr>
    </w:p>
    <w:p w:rsidR="00683629" w:rsidRDefault="00683629" w:rsidP="00B82898">
      <w:pPr>
        <w:rPr>
          <w:rFonts w:ascii="Arial" w:hAnsi="Arial" w:cs="Arial"/>
          <w:b/>
        </w:rPr>
      </w:pPr>
    </w:p>
    <w:p w:rsidR="00B82898" w:rsidRDefault="00B82898" w:rsidP="00B82898">
      <w:pPr>
        <w:rPr>
          <w:rFonts w:ascii="Arial" w:hAnsi="Arial" w:cs="Arial"/>
          <w:b/>
        </w:rPr>
      </w:pPr>
    </w:p>
    <w:p w:rsidR="00B82898" w:rsidRDefault="00B82898" w:rsidP="00B82898">
      <w:pPr>
        <w:rPr>
          <w:rFonts w:ascii="Arial" w:hAnsi="Arial" w:cs="Arial"/>
          <w:b/>
        </w:rPr>
      </w:pPr>
      <w:r w:rsidRPr="00DE0C59">
        <w:rPr>
          <w:rFonts w:ascii="Arial" w:hAnsi="Arial" w:cs="Arial"/>
          <w:b/>
        </w:rPr>
        <w:lastRenderedPageBreak/>
        <w:tab/>
      </w:r>
      <w:r w:rsidRPr="00DE0C59">
        <w:rPr>
          <w:rFonts w:ascii="Arial" w:hAnsi="Arial" w:cs="Arial"/>
          <w:b/>
        </w:rPr>
        <w:tab/>
      </w:r>
      <w:r w:rsidRPr="00DE0C59">
        <w:rPr>
          <w:rFonts w:ascii="Arial" w:hAnsi="Arial" w:cs="Arial"/>
          <w:b/>
        </w:rPr>
        <w:tab/>
      </w:r>
      <w:r w:rsidRPr="00DE0C59">
        <w:rPr>
          <w:rFonts w:ascii="Arial" w:hAnsi="Arial" w:cs="Arial"/>
          <w:b/>
        </w:rPr>
        <w:tab/>
      </w:r>
      <w:r w:rsidRPr="00DE0C59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82898" w:rsidRPr="002E10F8" w:rsidTr="001749F8">
        <w:tc>
          <w:tcPr>
            <w:tcW w:w="8522" w:type="dxa"/>
            <w:shd w:val="clear" w:color="auto" w:fill="auto"/>
          </w:tcPr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  <w:r w:rsidRPr="002E10F8">
              <w:rPr>
                <w:rFonts w:ascii="Arial" w:hAnsi="Arial" w:cs="Arial"/>
                <w:b/>
              </w:rPr>
              <w:t>Reason for exemption request</w:t>
            </w: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  <w:p w:rsidR="00B82898" w:rsidRPr="002E10F8" w:rsidRDefault="00B82898" w:rsidP="001749F8">
            <w:pPr>
              <w:rPr>
                <w:rFonts w:ascii="Arial" w:hAnsi="Arial" w:cs="Arial"/>
                <w:b/>
              </w:rPr>
            </w:pPr>
          </w:p>
        </w:tc>
      </w:tr>
    </w:tbl>
    <w:p w:rsidR="00B82898" w:rsidRDefault="00B82898" w:rsidP="00B82898">
      <w:pPr>
        <w:rPr>
          <w:rFonts w:ascii="Arial" w:hAnsi="Arial" w:cs="Arial"/>
          <w:b/>
        </w:rPr>
      </w:pPr>
    </w:p>
    <w:p w:rsidR="00B82898" w:rsidRDefault="00B82898" w:rsidP="00B82898">
      <w:pPr>
        <w:rPr>
          <w:rFonts w:ascii="Arial" w:hAnsi="Arial" w:cs="Arial"/>
          <w:b/>
        </w:rPr>
      </w:pPr>
    </w:p>
    <w:p w:rsidR="00B82898" w:rsidRDefault="00B82898" w:rsidP="00B828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sign below</w:t>
      </w:r>
    </w:p>
    <w:p w:rsidR="00B82898" w:rsidRDefault="00B82898" w:rsidP="00B82898">
      <w:pPr>
        <w:rPr>
          <w:rFonts w:ascii="Arial" w:hAnsi="Arial" w:cs="Arial"/>
          <w:b/>
        </w:rPr>
      </w:pPr>
    </w:p>
    <w:p w:rsidR="00B82898" w:rsidRDefault="00B82898" w:rsidP="00B82898">
      <w:pPr>
        <w:rPr>
          <w:rFonts w:ascii="Arial" w:hAnsi="Arial" w:cs="Arial"/>
          <w:b/>
        </w:rPr>
      </w:pPr>
    </w:p>
    <w:p w:rsidR="00B82898" w:rsidRDefault="00B82898" w:rsidP="00B828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Module Leader……………………………………………………………………….</w:t>
      </w:r>
    </w:p>
    <w:p w:rsidR="00B82898" w:rsidRDefault="00B82898" w:rsidP="00B82898">
      <w:pPr>
        <w:rPr>
          <w:rFonts w:ascii="Arial" w:hAnsi="Arial" w:cs="Arial"/>
          <w:b/>
        </w:rPr>
      </w:pPr>
    </w:p>
    <w:p w:rsidR="00B82898" w:rsidRDefault="00B82898" w:rsidP="00B828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Lead/</w:t>
      </w:r>
    </w:p>
    <w:p w:rsidR="00B82898" w:rsidRDefault="00B82898" w:rsidP="00B828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 Co-ordinator …………………………………………………………</w:t>
      </w:r>
    </w:p>
    <w:p w:rsidR="00B82898" w:rsidRDefault="00B82898" w:rsidP="00B82898">
      <w:pPr>
        <w:rPr>
          <w:rFonts w:ascii="Arial" w:hAnsi="Arial" w:cs="Arial"/>
          <w:b/>
        </w:rPr>
      </w:pPr>
    </w:p>
    <w:p w:rsidR="00B82898" w:rsidRDefault="00B82898" w:rsidP="00B828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Date…………………………………………………………………………………….</w:t>
      </w:r>
    </w:p>
    <w:p w:rsidR="00B82898" w:rsidRDefault="00B82898" w:rsidP="00B82898">
      <w:pPr>
        <w:rPr>
          <w:rFonts w:ascii="Arial" w:hAnsi="Arial" w:cs="Arial"/>
          <w:b/>
        </w:rPr>
      </w:pPr>
    </w:p>
    <w:p w:rsidR="00EB6B0E" w:rsidRPr="00D46674" w:rsidRDefault="00EB6B0E">
      <w:pPr>
        <w:rPr>
          <w:rFonts w:ascii="Arial" w:hAnsi="Arial" w:cs="Arial"/>
          <w:sz w:val="20"/>
          <w:szCs w:val="20"/>
        </w:rPr>
      </w:pPr>
    </w:p>
    <w:sectPr w:rsidR="00EB6B0E" w:rsidRPr="00D46674" w:rsidSect="0031421B">
      <w:headerReference w:type="first" r:id="rId7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BA" w:rsidRDefault="003C7FBA">
      <w:r>
        <w:separator/>
      </w:r>
    </w:p>
  </w:endnote>
  <w:endnote w:type="continuationSeparator" w:id="0">
    <w:p w:rsidR="003C7FBA" w:rsidRDefault="003C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BA" w:rsidRDefault="003C7FBA">
      <w:r>
        <w:separator/>
      </w:r>
    </w:p>
  </w:footnote>
  <w:footnote w:type="continuationSeparator" w:id="0">
    <w:p w:rsidR="003C7FBA" w:rsidRDefault="003C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1B" w:rsidRDefault="0068362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Description: 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DC"/>
    <w:rsid w:val="00070BDC"/>
    <w:rsid w:val="00121329"/>
    <w:rsid w:val="001427B0"/>
    <w:rsid w:val="001749F8"/>
    <w:rsid w:val="00235BC3"/>
    <w:rsid w:val="0031421B"/>
    <w:rsid w:val="003C7FBA"/>
    <w:rsid w:val="00683629"/>
    <w:rsid w:val="00B82898"/>
    <w:rsid w:val="00D46674"/>
    <w:rsid w:val="00EB6B0E"/>
    <w:rsid w:val="00F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B41A23"/>
  <w15:chartTrackingRefBased/>
  <w15:docId w15:val="{19A6520F-21AB-4FC5-B34E-523C17BC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character" w:styleId="Hyperlink">
    <w:name w:val="Hyperlink"/>
    <w:rsid w:val="00B82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ookes.ac.uk/staff/academic/inclusive-support-service/marking-wor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76381\Downloads\OB-word-template-A4-portrait-logo-blank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(4)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2372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http://www.brookes.ac.uk/staff/academic/disability-and-dyslexia-service/dyslexia-spld/marking-work/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FIONA</dc:creator>
  <cp:keywords/>
  <cp:lastModifiedBy>Lee Schreckengaust</cp:lastModifiedBy>
  <cp:revision>3</cp:revision>
  <cp:lastPrinted>1901-01-01T00:00:00Z</cp:lastPrinted>
  <dcterms:created xsi:type="dcterms:W3CDTF">2022-08-11T11:30:00Z</dcterms:created>
  <dcterms:modified xsi:type="dcterms:W3CDTF">2022-08-11T11:30:00Z</dcterms:modified>
</cp:coreProperties>
</file>