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5D37" w:rsidRDefault="00000000">
      <w:pPr>
        <w:spacing w:after="200"/>
        <w:ind w:left="-566"/>
        <w:rPr>
          <w:b/>
        </w:rPr>
      </w:pPr>
      <w:r>
        <w:rPr>
          <w:b/>
        </w:rPr>
        <w:t>Individual actions/Engaging with wellbeing resources</w:t>
      </w:r>
    </w:p>
    <w:p w:rsidR="00105D37" w:rsidRDefault="00000000">
      <w:pPr>
        <w:spacing w:after="200"/>
        <w:ind w:left="-566"/>
        <w:rPr>
          <w:color w:val="1155CC"/>
        </w:rPr>
      </w:pPr>
      <w:r>
        <w:t>The University’s</w:t>
      </w:r>
      <w:hyperlink r:id="rId4">
        <w:r>
          <w:rPr>
            <w:u w:val="single"/>
          </w:rPr>
          <w:t xml:space="preserve"> policy for the prevention and management of work-related stress</w:t>
        </w:r>
      </w:hyperlink>
      <w:r>
        <w:t xml:space="preserve"> recognises the duty of care it has towards its staff and the legal duty it has to identify, assess and respond to occupational causes of stress.  It also notes the need for us all to take reasonable care of our own health and wellbeing and to take advantage of opportunities for counselling, training or other relevant activities when recommended, including making use of the</w:t>
      </w:r>
      <w:r>
        <w:rPr>
          <w:color w:val="1155CC"/>
        </w:rPr>
        <w:t xml:space="preserve"> </w:t>
      </w:r>
      <w:hyperlink r:id="rId5">
        <w:r>
          <w:rPr>
            <w:color w:val="1155CC"/>
            <w:u w:val="single"/>
          </w:rPr>
          <w:t>Employee Assistance programme</w:t>
        </w:r>
      </w:hyperlink>
      <w:r>
        <w:rPr>
          <w:color w:val="1155CC"/>
        </w:rPr>
        <w:t xml:space="preserve">.  </w:t>
      </w:r>
    </w:p>
    <w:p w:rsidR="00105D37" w:rsidRDefault="00000000">
      <w:pPr>
        <w:spacing w:after="200"/>
        <w:ind w:left="-566"/>
      </w:pPr>
      <w:r>
        <w:t xml:space="preserve">This template provides an opportunity to reflect on individual actions and available resources to support your wellbeing.  The guidance in </w:t>
      </w:r>
      <w:hyperlink r:id="rId6">
        <w:r>
          <w:rPr>
            <w:u w:val="single"/>
          </w:rPr>
          <w:t>Tips for managing stress</w:t>
        </w:r>
      </w:hyperlink>
      <w:r>
        <w:t xml:space="preserve"> is provided to help.  If you completed the Wellbeing survey (2023) you can also access your personalised Wellbeing Snapshot Report by logging into your </w:t>
      </w:r>
      <w:hyperlink r:id="rId7">
        <w:r>
          <w:rPr>
            <w:u w:val="single"/>
          </w:rPr>
          <w:t>Good Days at Work account</w:t>
        </w:r>
      </w:hyperlink>
      <w:r>
        <w:t xml:space="preserve">.to find personalised tips and advice on how to make positive changes.  </w:t>
      </w:r>
    </w:p>
    <w:p w:rsidR="00105D37" w:rsidRDefault="00000000">
      <w:pPr>
        <w:spacing w:after="200"/>
        <w:ind w:left="-566"/>
        <w:rPr>
          <w:highlight w:val="white"/>
        </w:rPr>
      </w:pPr>
      <w:r>
        <w:t xml:space="preserve">All staff also have access to the </w:t>
      </w:r>
      <w:proofErr w:type="spellStart"/>
      <w:r>
        <w:t>i</w:t>
      </w:r>
      <w:proofErr w:type="spellEnd"/>
      <w:r>
        <w:t xml:space="preserve">-resilience tool, </w:t>
      </w:r>
      <w:r>
        <w:rPr>
          <w:highlight w:val="white"/>
        </w:rPr>
        <w:t xml:space="preserve">a confidential personality-based questionnaire that provides you with a personalised report. The feedback will help you to understand how your personality is likely to influence your personal resources which can help you to focus on the areas that might be most beneficial.  Further information can be found on the </w:t>
      </w:r>
      <w:hyperlink r:id="rId8">
        <w:r>
          <w:rPr>
            <w:color w:val="1155CC"/>
            <w:highlight w:val="white"/>
            <w:u w:val="single"/>
          </w:rPr>
          <w:t>Personal Resources webpage</w:t>
        </w:r>
      </w:hyperlink>
      <w:r>
        <w:rPr>
          <w:highlight w:val="white"/>
        </w:rPr>
        <w:t>.</w:t>
      </w:r>
    </w:p>
    <w:tbl>
      <w:tblPr>
        <w:tblStyle w:val="a"/>
        <w:tblW w:w="14535" w:type="dxa"/>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880"/>
        <w:gridCol w:w="1530"/>
        <w:gridCol w:w="5925"/>
        <w:gridCol w:w="1935"/>
        <w:gridCol w:w="2265"/>
      </w:tblGrid>
      <w:tr w:rsidR="00105D37" w:rsidTr="00DD7A50">
        <w:trPr>
          <w:tblHeader/>
        </w:trPr>
        <w:tc>
          <w:tcPr>
            <w:tcW w:w="2880" w:type="dxa"/>
            <w:shd w:val="clear" w:color="auto" w:fill="EFEFEF"/>
            <w:tcMar>
              <w:top w:w="100" w:type="dxa"/>
              <w:left w:w="100" w:type="dxa"/>
              <w:bottom w:w="100" w:type="dxa"/>
              <w:right w:w="100" w:type="dxa"/>
            </w:tcMar>
          </w:tcPr>
          <w:p w:rsidR="00105D37" w:rsidRDefault="00000000">
            <w:pPr>
              <w:widowControl w:val="0"/>
              <w:spacing w:line="240" w:lineRule="auto"/>
              <w:rPr>
                <w:b/>
              </w:rPr>
            </w:pPr>
            <w:r>
              <w:rPr>
                <w:b/>
              </w:rPr>
              <w:t>Focus</w:t>
            </w:r>
          </w:p>
        </w:tc>
        <w:tc>
          <w:tcPr>
            <w:tcW w:w="1530" w:type="dxa"/>
            <w:shd w:val="clear" w:color="auto" w:fill="EFEFEF"/>
            <w:tcMar>
              <w:top w:w="100" w:type="dxa"/>
              <w:left w:w="100" w:type="dxa"/>
              <w:bottom w:w="100" w:type="dxa"/>
              <w:right w:w="100" w:type="dxa"/>
            </w:tcMar>
          </w:tcPr>
          <w:p w:rsidR="00105D37" w:rsidRDefault="00000000">
            <w:pPr>
              <w:widowControl w:val="0"/>
              <w:spacing w:line="240" w:lineRule="auto"/>
              <w:rPr>
                <w:b/>
              </w:rPr>
            </w:pPr>
            <w:r>
              <w:rPr>
                <w:b/>
              </w:rPr>
              <w:t>Relevant for me?</w:t>
            </w:r>
          </w:p>
        </w:tc>
        <w:tc>
          <w:tcPr>
            <w:tcW w:w="5925" w:type="dxa"/>
            <w:shd w:val="clear" w:color="auto" w:fill="EFEFEF"/>
            <w:tcMar>
              <w:top w:w="100" w:type="dxa"/>
              <w:left w:w="100" w:type="dxa"/>
              <w:bottom w:w="100" w:type="dxa"/>
              <w:right w:w="100" w:type="dxa"/>
            </w:tcMar>
          </w:tcPr>
          <w:p w:rsidR="00105D37" w:rsidRDefault="00000000">
            <w:pPr>
              <w:widowControl w:val="0"/>
              <w:spacing w:line="240" w:lineRule="auto"/>
              <w:rPr>
                <w:b/>
                <w:highlight w:val="yellow"/>
              </w:rPr>
            </w:pPr>
            <w:r>
              <w:rPr>
                <w:b/>
              </w:rPr>
              <w:t xml:space="preserve">Example activities - </w:t>
            </w:r>
            <w:r>
              <w:rPr>
                <w:b/>
                <w:highlight w:val="yellow"/>
              </w:rPr>
              <w:t>amend/delete as appropriate</w:t>
            </w:r>
          </w:p>
        </w:tc>
        <w:tc>
          <w:tcPr>
            <w:tcW w:w="1935" w:type="dxa"/>
            <w:shd w:val="clear" w:color="auto" w:fill="EFEFEF"/>
            <w:tcMar>
              <w:top w:w="100" w:type="dxa"/>
              <w:left w:w="100" w:type="dxa"/>
              <w:bottom w:w="100" w:type="dxa"/>
              <w:right w:w="100" w:type="dxa"/>
            </w:tcMar>
          </w:tcPr>
          <w:p w:rsidR="00105D37" w:rsidRDefault="00000000">
            <w:pPr>
              <w:widowControl w:val="0"/>
              <w:spacing w:line="240" w:lineRule="auto"/>
              <w:rPr>
                <w:b/>
              </w:rPr>
            </w:pPr>
            <w:r>
              <w:rPr>
                <w:b/>
              </w:rPr>
              <w:t>Timeframe</w:t>
            </w:r>
          </w:p>
        </w:tc>
        <w:tc>
          <w:tcPr>
            <w:tcW w:w="2265" w:type="dxa"/>
            <w:shd w:val="clear" w:color="auto" w:fill="EFEFEF"/>
            <w:tcMar>
              <w:top w:w="100" w:type="dxa"/>
              <w:left w:w="100" w:type="dxa"/>
              <w:bottom w:w="100" w:type="dxa"/>
              <w:right w:w="100" w:type="dxa"/>
            </w:tcMar>
          </w:tcPr>
          <w:p w:rsidR="00105D37" w:rsidRDefault="00000000">
            <w:pPr>
              <w:widowControl w:val="0"/>
              <w:spacing w:line="240" w:lineRule="auto"/>
              <w:rPr>
                <w:b/>
              </w:rPr>
            </w:pPr>
            <w:r>
              <w:rPr>
                <w:b/>
              </w:rPr>
              <w:t>How will I know if it has helped?</w:t>
            </w:r>
          </w:p>
        </w:tc>
      </w:tr>
      <w:tr w:rsidR="00105D37" w:rsidTr="00DD7A50">
        <w:tc>
          <w:tcPr>
            <w:tcW w:w="2880" w:type="dxa"/>
            <w:shd w:val="clear" w:color="auto" w:fill="auto"/>
            <w:tcMar>
              <w:top w:w="100" w:type="dxa"/>
              <w:left w:w="100" w:type="dxa"/>
              <w:bottom w:w="100" w:type="dxa"/>
              <w:right w:w="100" w:type="dxa"/>
            </w:tcMar>
          </w:tcPr>
          <w:p w:rsidR="00105D37" w:rsidRDefault="00000000">
            <w:pPr>
              <w:spacing w:after="200"/>
              <w:rPr>
                <w:b/>
              </w:rPr>
            </w:pPr>
            <w:r>
              <w:rPr>
                <w:b/>
              </w:rPr>
              <w:t>Physical health/ exercise/movement</w:t>
            </w:r>
          </w:p>
        </w:tc>
        <w:tc>
          <w:tcPr>
            <w:tcW w:w="1530" w:type="dxa"/>
            <w:shd w:val="clear" w:color="auto" w:fill="auto"/>
            <w:tcMar>
              <w:top w:w="100" w:type="dxa"/>
              <w:left w:w="100" w:type="dxa"/>
              <w:bottom w:w="100" w:type="dxa"/>
              <w:right w:w="100" w:type="dxa"/>
            </w:tcMar>
          </w:tcPr>
          <w:p w:rsidR="00105D37" w:rsidRDefault="00000000">
            <w:pPr>
              <w:widowControl w:val="0"/>
              <w:spacing w:line="240" w:lineRule="auto"/>
              <w:rPr>
                <w:b/>
                <w:highlight w:val="white"/>
              </w:rPr>
            </w:pPr>
            <w:r>
              <w:rPr>
                <w:b/>
              </w:rPr>
              <w:t>yes/no</w:t>
            </w:r>
          </w:p>
        </w:tc>
        <w:tc>
          <w:tcPr>
            <w:tcW w:w="5925" w:type="dxa"/>
            <w:shd w:val="clear" w:color="auto" w:fill="auto"/>
            <w:tcMar>
              <w:top w:w="100" w:type="dxa"/>
              <w:left w:w="100" w:type="dxa"/>
              <w:bottom w:w="100" w:type="dxa"/>
              <w:right w:w="100" w:type="dxa"/>
            </w:tcMar>
          </w:tcPr>
          <w:p w:rsidR="00105D37" w:rsidRDefault="00000000">
            <w:pPr>
              <w:widowControl w:val="0"/>
              <w:spacing w:line="240" w:lineRule="auto"/>
              <w:rPr>
                <w:highlight w:val="white"/>
              </w:rPr>
            </w:pPr>
            <w:r>
              <w:rPr>
                <w:highlight w:val="white"/>
              </w:rPr>
              <w:t>Complete a Health/Wellness check (</w:t>
            </w:r>
            <w:hyperlink r:id="rId9">
              <w:r>
                <w:rPr>
                  <w:color w:val="1155CC"/>
                  <w:highlight w:val="white"/>
                  <w:u w:val="single"/>
                </w:rPr>
                <w:t>EAP or Sports</w:t>
              </w:r>
            </w:hyperlink>
            <w:r>
              <w:rPr>
                <w:highlight w:val="white"/>
              </w:rPr>
              <w:t>) and act on feedback</w:t>
            </w:r>
          </w:p>
          <w:p w:rsidR="00105D37" w:rsidRDefault="00105D37">
            <w:pPr>
              <w:widowControl w:val="0"/>
              <w:spacing w:line="240" w:lineRule="auto"/>
              <w:rPr>
                <w:highlight w:val="white"/>
              </w:rPr>
            </w:pPr>
          </w:p>
          <w:p w:rsidR="00105D37" w:rsidRDefault="00000000">
            <w:pPr>
              <w:widowControl w:val="0"/>
              <w:spacing w:line="240" w:lineRule="auto"/>
              <w:rPr>
                <w:highlight w:val="white"/>
              </w:rPr>
            </w:pPr>
            <w:r>
              <w:rPr>
                <w:highlight w:val="white"/>
              </w:rPr>
              <w:t xml:space="preserve">Be more active/take up a new activity </w:t>
            </w:r>
            <w:r>
              <w:rPr>
                <w:b/>
                <w:i/>
                <w:highlight w:val="white"/>
              </w:rPr>
              <w:t>[specify</w:t>
            </w:r>
            <w:r>
              <w:rPr>
                <w:highlight w:val="white"/>
              </w:rPr>
              <w:t xml:space="preserve">] </w:t>
            </w:r>
          </w:p>
          <w:p w:rsidR="00105D37" w:rsidRDefault="00000000">
            <w:pPr>
              <w:widowControl w:val="0"/>
              <w:spacing w:line="240" w:lineRule="auto"/>
              <w:rPr>
                <w:highlight w:val="white"/>
              </w:rPr>
            </w:pPr>
            <w:r>
              <w:rPr>
                <w:highlight w:val="white"/>
              </w:rPr>
              <w:t>(see ‘Be Active’ section -</w:t>
            </w:r>
            <w:hyperlink r:id="rId10">
              <w:r>
                <w:rPr>
                  <w:color w:val="1155CC"/>
                  <w:highlight w:val="white"/>
                  <w:u w:val="single"/>
                </w:rPr>
                <w:t xml:space="preserve"> Improving wellbeing</w:t>
              </w:r>
            </w:hyperlink>
            <w:r>
              <w:rPr>
                <w:highlight w:val="white"/>
              </w:rPr>
              <w:t xml:space="preserve">/ fitness programme via </w:t>
            </w:r>
            <w:hyperlink r:id="rId11">
              <w:r>
                <w:rPr>
                  <w:color w:val="1155CC"/>
                  <w:highlight w:val="white"/>
                  <w:u w:val="single"/>
                </w:rPr>
                <w:t>EAP Portal</w:t>
              </w:r>
            </w:hyperlink>
            <w:r>
              <w:rPr>
                <w:highlight w:val="white"/>
              </w:rPr>
              <w:t xml:space="preserve"> or </w:t>
            </w:r>
            <w:hyperlink r:id="rId12">
              <w:r>
                <w:rPr>
                  <w:color w:val="1155CC"/>
                  <w:highlight w:val="white"/>
                  <w:u w:val="single"/>
                </w:rPr>
                <w:t>Wisdom App</w:t>
              </w:r>
            </w:hyperlink>
            <w:r>
              <w:rPr>
                <w:highlight w:val="white"/>
              </w:rPr>
              <w:t xml:space="preserve"> for ideas)</w:t>
            </w:r>
          </w:p>
        </w:tc>
        <w:tc>
          <w:tcPr>
            <w:tcW w:w="1935" w:type="dxa"/>
            <w:shd w:val="clear" w:color="auto" w:fill="auto"/>
            <w:tcMar>
              <w:top w:w="100" w:type="dxa"/>
              <w:left w:w="100" w:type="dxa"/>
              <w:bottom w:w="100" w:type="dxa"/>
              <w:right w:w="100" w:type="dxa"/>
            </w:tcMar>
          </w:tcPr>
          <w:p w:rsidR="00105D37" w:rsidRDefault="00105D37">
            <w:pPr>
              <w:widowControl w:val="0"/>
              <w:spacing w:line="240" w:lineRule="auto"/>
              <w:rPr>
                <w:highlight w:val="white"/>
              </w:rPr>
            </w:pPr>
          </w:p>
        </w:tc>
        <w:tc>
          <w:tcPr>
            <w:tcW w:w="2265" w:type="dxa"/>
            <w:shd w:val="clear" w:color="auto" w:fill="auto"/>
            <w:tcMar>
              <w:top w:w="100" w:type="dxa"/>
              <w:left w:w="100" w:type="dxa"/>
              <w:bottom w:w="100" w:type="dxa"/>
              <w:right w:w="100" w:type="dxa"/>
            </w:tcMar>
          </w:tcPr>
          <w:p w:rsidR="00105D37" w:rsidRDefault="00105D37">
            <w:pPr>
              <w:widowControl w:val="0"/>
              <w:spacing w:line="240" w:lineRule="auto"/>
              <w:rPr>
                <w:highlight w:val="white"/>
              </w:rPr>
            </w:pPr>
          </w:p>
        </w:tc>
      </w:tr>
      <w:tr w:rsidR="00105D37" w:rsidTr="00DD7A50">
        <w:tc>
          <w:tcPr>
            <w:tcW w:w="2880" w:type="dxa"/>
            <w:shd w:val="clear" w:color="auto" w:fill="auto"/>
            <w:tcMar>
              <w:top w:w="100" w:type="dxa"/>
              <w:left w:w="100" w:type="dxa"/>
              <w:bottom w:w="100" w:type="dxa"/>
              <w:right w:w="100" w:type="dxa"/>
            </w:tcMar>
          </w:tcPr>
          <w:p w:rsidR="00105D37" w:rsidRDefault="00000000">
            <w:pPr>
              <w:spacing w:after="200"/>
              <w:rPr>
                <w:b/>
              </w:rPr>
            </w:pPr>
            <w:r>
              <w:rPr>
                <w:b/>
              </w:rPr>
              <w:t>Nutrition</w:t>
            </w:r>
          </w:p>
        </w:tc>
        <w:tc>
          <w:tcPr>
            <w:tcW w:w="1530" w:type="dxa"/>
            <w:shd w:val="clear" w:color="auto" w:fill="auto"/>
            <w:tcMar>
              <w:top w:w="100" w:type="dxa"/>
              <w:left w:w="100" w:type="dxa"/>
              <w:bottom w:w="100" w:type="dxa"/>
              <w:right w:w="100" w:type="dxa"/>
            </w:tcMar>
          </w:tcPr>
          <w:p w:rsidR="00105D37" w:rsidRDefault="00000000">
            <w:pPr>
              <w:widowControl w:val="0"/>
              <w:spacing w:line="240" w:lineRule="auto"/>
              <w:rPr>
                <w:b/>
                <w:highlight w:val="white"/>
              </w:rPr>
            </w:pPr>
            <w:r>
              <w:rPr>
                <w:b/>
              </w:rPr>
              <w:t>yes/no</w:t>
            </w:r>
          </w:p>
        </w:tc>
        <w:tc>
          <w:tcPr>
            <w:tcW w:w="5925" w:type="dxa"/>
            <w:shd w:val="clear" w:color="auto" w:fill="auto"/>
            <w:tcMar>
              <w:top w:w="100" w:type="dxa"/>
              <w:left w:w="100" w:type="dxa"/>
              <w:bottom w:w="100" w:type="dxa"/>
              <w:right w:w="100" w:type="dxa"/>
            </w:tcMar>
          </w:tcPr>
          <w:p w:rsidR="00105D37" w:rsidRDefault="00000000">
            <w:pPr>
              <w:widowControl w:val="0"/>
              <w:spacing w:line="240" w:lineRule="auto"/>
              <w:rPr>
                <w:highlight w:val="white"/>
              </w:rPr>
            </w:pPr>
            <w:r>
              <w:rPr>
                <w:highlight w:val="white"/>
              </w:rPr>
              <w:t xml:space="preserve">Eat more healthily/regularly </w:t>
            </w:r>
          </w:p>
          <w:p w:rsidR="00105D37" w:rsidRDefault="00000000">
            <w:pPr>
              <w:widowControl w:val="0"/>
              <w:spacing w:line="240" w:lineRule="auto"/>
              <w:rPr>
                <w:highlight w:val="white"/>
              </w:rPr>
            </w:pPr>
            <w:r>
              <w:rPr>
                <w:highlight w:val="white"/>
              </w:rPr>
              <w:t xml:space="preserve">(see Employee Assistance </w:t>
            </w:r>
            <w:hyperlink r:id="rId13">
              <w:r>
                <w:rPr>
                  <w:color w:val="1155CC"/>
                  <w:highlight w:val="white"/>
                  <w:u w:val="single"/>
                </w:rPr>
                <w:t xml:space="preserve">portal </w:t>
              </w:r>
            </w:hyperlink>
            <w:r>
              <w:rPr>
                <w:highlight w:val="white"/>
              </w:rPr>
              <w:t xml:space="preserve">and </w:t>
            </w:r>
            <w:hyperlink r:id="rId14">
              <w:r>
                <w:rPr>
                  <w:color w:val="1155CC"/>
                  <w:highlight w:val="white"/>
                  <w:u w:val="single"/>
                </w:rPr>
                <w:t>Wisdom App</w:t>
              </w:r>
            </w:hyperlink>
            <w:r>
              <w:rPr>
                <w:highlight w:val="white"/>
              </w:rPr>
              <w:t xml:space="preserve"> for information and guidance)</w:t>
            </w:r>
          </w:p>
        </w:tc>
        <w:tc>
          <w:tcPr>
            <w:tcW w:w="1935" w:type="dxa"/>
            <w:shd w:val="clear" w:color="auto" w:fill="auto"/>
            <w:tcMar>
              <w:top w:w="100" w:type="dxa"/>
              <w:left w:w="100" w:type="dxa"/>
              <w:bottom w:w="100" w:type="dxa"/>
              <w:right w:w="100" w:type="dxa"/>
            </w:tcMar>
          </w:tcPr>
          <w:p w:rsidR="00105D37" w:rsidRDefault="00105D37">
            <w:pPr>
              <w:widowControl w:val="0"/>
              <w:spacing w:line="240" w:lineRule="auto"/>
              <w:rPr>
                <w:highlight w:val="white"/>
              </w:rPr>
            </w:pPr>
          </w:p>
        </w:tc>
        <w:tc>
          <w:tcPr>
            <w:tcW w:w="2265" w:type="dxa"/>
            <w:shd w:val="clear" w:color="auto" w:fill="auto"/>
            <w:tcMar>
              <w:top w:w="100" w:type="dxa"/>
              <w:left w:w="100" w:type="dxa"/>
              <w:bottom w:w="100" w:type="dxa"/>
              <w:right w:w="100" w:type="dxa"/>
            </w:tcMar>
          </w:tcPr>
          <w:p w:rsidR="00105D37" w:rsidRDefault="00105D37">
            <w:pPr>
              <w:widowControl w:val="0"/>
              <w:spacing w:line="240" w:lineRule="auto"/>
              <w:rPr>
                <w:highlight w:val="white"/>
              </w:rPr>
            </w:pPr>
          </w:p>
        </w:tc>
      </w:tr>
      <w:tr w:rsidR="00105D37" w:rsidTr="00DD7A50">
        <w:tc>
          <w:tcPr>
            <w:tcW w:w="2880" w:type="dxa"/>
            <w:shd w:val="clear" w:color="auto" w:fill="auto"/>
            <w:tcMar>
              <w:top w:w="100" w:type="dxa"/>
              <w:left w:w="100" w:type="dxa"/>
              <w:bottom w:w="100" w:type="dxa"/>
              <w:right w:w="100" w:type="dxa"/>
            </w:tcMar>
          </w:tcPr>
          <w:p w:rsidR="00105D37" w:rsidRDefault="00000000">
            <w:pPr>
              <w:spacing w:after="200"/>
              <w:rPr>
                <w:b/>
              </w:rPr>
            </w:pPr>
            <w:r>
              <w:rPr>
                <w:b/>
              </w:rPr>
              <w:t>Sleep</w:t>
            </w:r>
          </w:p>
        </w:tc>
        <w:tc>
          <w:tcPr>
            <w:tcW w:w="1530" w:type="dxa"/>
            <w:shd w:val="clear" w:color="auto" w:fill="auto"/>
            <w:tcMar>
              <w:top w:w="100" w:type="dxa"/>
              <w:left w:w="100" w:type="dxa"/>
              <w:bottom w:w="100" w:type="dxa"/>
              <w:right w:w="100" w:type="dxa"/>
            </w:tcMar>
          </w:tcPr>
          <w:p w:rsidR="00105D37" w:rsidRDefault="00000000">
            <w:pPr>
              <w:widowControl w:val="0"/>
              <w:spacing w:line="240" w:lineRule="auto"/>
              <w:rPr>
                <w:b/>
                <w:highlight w:val="white"/>
              </w:rPr>
            </w:pPr>
            <w:r>
              <w:rPr>
                <w:b/>
              </w:rPr>
              <w:t>yes/no</w:t>
            </w:r>
          </w:p>
        </w:tc>
        <w:tc>
          <w:tcPr>
            <w:tcW w:w="5925" w:type="dxa"/>
            <w:shd w:val="clear" w:color="auto" w:fill="auto"/>
            <w:tcMar>
              <w:top w:w="100" w:type="dxa"/>
              <w:left w:w="100" w:type="dxa"/>
              <w:bottom w:w="100" w:type="dxa"/>
              <w:right w:w="100" w:type="dxa"/>
            </w:tcMar>
          </w:tcPr>
          <w:p w:rsidR="00105D37" w:rsidRDefault="00000000">
            <w:pPr>
              <w:widowControl w:val="0"/>
              <w:spacing w:line="240" w:lineRule="auto"/>
              <w:rPr>
                <w:highlight w:val="white"/>
              </w:rPr>
            </w:pPr>
            <w:r>
              <w:rPr>
                <w:highlight w:val="white"/>
              </w:rPr>
              <w:t>Improve my sleeping habits/get more sleep</w:t>
            </w:r>
          </w:p>
          <w:p w:rsidR="00105D37" w:rsidRDefault="00000000">
            <w:pPr>
              <w:widowControl w:val="0"/>
              <w:spacing w:line="240" w:lineRule="auto"/>
              <w:rPr>
                <w:highlight w:val="white"/>
              </w:rPr>
            </w:pPr>
            <w:r>
              <w:rPr>
                <w:highlight w:val="white"/>
              </w:rPr>
              <w:t xml:space="preserve">(see Employee Assistance </w:t>
            </w:r>
            <w:hyperlink r:id="rId15">
              <w:r>
                <w:rPr>
                  <w:color w:val="1155CC"/>
                  <w:highlight w:val="white"/>
                  <w:u w:val="single"/>
                </w:rPr>
                <w:t xml:space="preserve">portal </w:t>
              </w:r>
            </w:hyperlink>
            <w:r>
              <w:rPr>
                <w:highlight w:val="white"/>
              </w:rPr>
              <w:t xml:space="preserve">and </w:t>
            </w:r>
            <w:hyperlink r:id="rId16">
              <w:r>
                <w:rPr>
                  <w:color w:val="1155CC"/>
                  <w:highlight w:val="white"/>
                  <w:u w:val="single"/>
                </w:rPr>
                <w:t>Wisdom App</w:t>
              </w:r>
            </w:hyperlink>
            <w:r>
              <w:rPr>
                <w:highlight w:val="white"/>
              </w:rPr>
              <w:t xml:space="preserve"> for information and guidance)</w:t>
            </w:r>
          </w:p>
        </w:tc>
        <w:tc>
          <w:tcPr>
            <w:tcW w:w="1935" w:type="dxa"/>
            <w:shd w:val="clear" w:color="auto" w:fill="auto"/>
            <w:tcMar>
              <w:top w:w="100" w:type="dxa"/>
              <w:left w:w="100" w:type="dxa"/>
              <w:bottom w:w="100" w:type="dxa"/>
              <w:right w:w="100" w:type="dxa"/>
            </w:tcMar>
          </w:tcPr>
          <w:p w:rsidR="00105D37" w:rsidRDefault="00105D37">
            <w:pPr>
              <w:widowControl w:val="0"/>
              <w:spacing w:line="240" w:lineRule="auto"/>
              <w:rPr>
                <w:highlight w:val="white"/>
              </w:rPr>
            </w:pPr>
          </w:p>
        </w:tc>
        <w:tc>
          <w:tcPr>
            <w:tcW w:w="2265" w:type="dxa"/>
            <w:shd w:val="clear" w:color="auto" w:fill="auto"/>
            <w:tcMar>
              <w:top w:w="100" w:type="dxa"/>
              <w:left w:w="100" w:type="dxa"/>
              <w:bottom w:w="100" w:type="dxa"/>
              <w:right w:w="100" w:type="dxa"/>
            </w:tcMar>
          </w:tcPr>
          <w:p w:rsidR="00105D37" w:rsidRDefault="00105D37">
            <w:pPr>
              <w:widowControl w:val="0"/>
              <w:spacing w:line="240" w:lineRule="auto"/>
              <w:rPr>
                <w:highlight w:val="white"/>
              </w:rPr>
            </w:pPr>
          </w:p>
        </w:tc>
      </w:tr>
      <w:tr w:rsidR="00105D37" w:rsidTr="00DD7A50">
        <w:tc>
          <w:tcPr>
            <w:tcW w:w="2880" w:type="dxa"/>
            <w:shd w:val="clear" w:color="auto" w:fill="auto"/>
            <w:tcMar>
              <w:top w:w="100" w:type="dxa"/>
              <w:left w:w="100" w:type="dxa"/>
              <w:bottom w:w="100" w:type="dxa"/>
              <w:right w:w="100" w:type="dxa"/>
            </w:tcMar>
          </w:tcPr>
          <w:p w:rsidR="00105D37" w:rsidRDefault="00000000">
            <w:pPr>
              <w:spacing w:after="200"/>
              <w:rPr>
                <w:b/>
              </w:rPr>
            </w:pPr>
            <w:r>
              <w:rPr>
                <w:b/>
              </w:rPr>
              <w:t>Social support/connection</w:t>
            </w:r>
          </w:p>
        </w:tc>
        <w:tc>
          <w:tcPr>
            <w:tcW w:w="1530" w:type="dxa"/>
            <w:shd w:val="clear" w:color="auto" w:fill="auto"/>
            <w:tcMar>
              <w:top w:w="100" w:type="dxa"/>
              <w:left w:w="100" w:type="dxa"/>
              <w:bottom w:w="100" w:type="dxa"/>
              <w:right w:w="100" w:type="dxa"/>
            </w:tcMar>
          </w:tcPr>
          <w:p w:rsidR="00105D37" w:rsidRDefault="00000000">
            <w:pPr>
              <w:widowControl w:val="0"/>
              <w:spacing w:line="240" w:lineRule="auto"/>
              <w:rPr>
                <w:b/>
                <w:highlight w:val="white"/>
              </w:rPr>
            </w:pPr>
            <w:r>
              <w:rPr>
                <w:b/>
              </w:rPr>
              <w:t>yes/no</w:t>
            </w:r>
          </w:p>
        </w:tc>
        <w:tc>
          <w:tcPr>
            <w:tcW w:w="5925" w:type="dxa"/>
            <w:shd w:val="clear" w:color="auto" w:fill="auto"/>
            <w:tcMar>
              <w:top w:w="100" w:type="dxa"/>
              <w:left w:w="100" w:type="dxa"/>
              <w:bottom w:w="100" w:type="dxa"/>
              <w:right w:w="100" w:type="dxa"/>
            </w:tcMar>
          </w:tcPr>
          <w:p w:rsidR="00105D37" w:rsidRDefault="00000000">
            <w:pPr>
              <w:widowControl w:val="0"/>
              <w:spacing w:line="240" w:lineRule="auto"/>
              <w:rPr>
                <w:highlight w:val="white"/>
              </w:rPr>
            </w:pPr>
            <w:r>
              <w:rPr>
                <w:highlight w:val="white"/>
              </w:rPr>
              <w:t>Take up a hobby/join a group (see ‘Connect’ section -</w:t>
            </w:r>
            <w:hyperlink r:id="rId17">
              <w:r>
                <w:rPr>
                  <w:color w:val="1155CC"/>
                  <w:highlight w:val="white"/>
                  <w:u w:val="single"/>
                </w:rPr>
                <w:t xml:space="preserve"> Improving wellbeing</w:t>
              </w:r>
            </w:hyperlink>
          </w:p>
          <w:p w:rsidR="00105D37" w:rsidRDefault="00000000">
            <w:pPr>
              <w:widowControl w:val="0"/>
              <w:spacing w:line="240" w:lineRule="auto"/>
              <w:rPr>
                <w:highlight w:val="white"/>
              </w:rPr>
            </w:pPr>
            <w:r>
              <w:rPr>
                <w:highlight w:val="white"/>
              </w:rPr>
              <w:t>Go onto campus more frequently to meet up with colleagues/arrange a regular coffee &amp; catch up with x</w:t>
            </w:r>
          </w:p>
          <w:p w:rsidR="00105D37" w:rsidRDefault="00000000">
            <w:pPr>
              <w:widowControl w:val="0"/>
              <w:spacing w:line="240" w:lineRule="auto"/>
              <w:rPr>
                <w:highlight w:val="white"/>
              </w:rPr>
            </w:pPr>
            <w:r>
              <w:rPr>
                <w:highlight w:val="white"/>
              </w:rPr>
              <w:t>Do some volunteering to meet new people (</w:t>
            </w:r>
            <w:hyperlink r:id="rId18">
              <w:r>
                <w:rPr>
                  <w:color w:val="1155CC"/>
                  <w:highlight w:val="white"/>
                  <w:u w:val="single"/>
                </w:rPr>
                <w:t>volunteering</w:t>
              </w:r>
            </w:hyperlink>
            <w:r>
              <w:rPr>
                <w:highlight w:val="white"/>
              </w:rPr>
              <w:t>)</w:t>
            </w:r>
          </w:p>
        </w:tc>
        <w:tc>
          <w:tcPr>
            <w:tcW w:w="1935" w:type="dxa"/>
            <w:shd w:val="clear" w:color="auto" w:fill="auto"/>
            <w:tcMar>
              <w:top w:w="100" w:type="dxa"/>
              <w:left w:w="100" w:type="dxa"/>
              <w:bottom w:w="100" w:type="dxa"/>
              <w:right w:w="100" w:type="dxa"/>
            </w:tcMar>
          </w:tcPr>
          <w:p w:rsidR="00105D37" w:rsidRDefault="00105D37">
            <w:pPr>
              <w:widowControl w:val="0"/>
              <w:spacing w:line="240" w:lineRule="auto"/>
              <w:rPr>
                <w:highlight w:val="white"/>
              </w:rPr>
            </w:pPr>
          </w:p>
        </w:tc>
        <w:tc>
          <w:tcPr>
            <w:tcW w:w="2265" w:type="dxa"/>
            <w:shd w:val="clear" w:color="auto" w:fill="auto"/>
            <w:tcMar>
              <w:top w:w="100" w:type="dxa"/>
              <w:left w:w="100" w:type="dxa"/>
              <w:bottom w:w="100" w:type="dxa"/>
              <w:right w:w="100" w:type="dxa"/>
            </w:tcMar>
          </w:tcPr>
          <w:p w:rsidR="00105D37" w:rsidRDefault="00105D37">
            <w:pPr>
              <w:widowControl w:val="0"/>
              <w:spacing w:line="240" w:lineRule="auto"/>
              <w:rPr>
                <w:highlight w:val="white"/>
              </w:rPr>
            </w:pPr>
          </w:p>
        </w:tc>
      </w:tr>
      <w:tr w:rsidR="00105D37" w:rsidTr="00DD7A50">
        <w:tc>
          <w:tcPr>
            <w:tcW w:w="2880" w:type="dxa"/>
            <w:shd w:val="clear" w:color="auto" w:fill="auto"/>
            <w:tcMar>
              <w:top w:w="100" w:type="dxa"/>
              <w:left w:w="100" w:type="dxa"/>
              <w:bottom w:w="100" w:type="dxa"/>
              <w:right w:w="100" w:type="dxa"/>
            </w:tcMar>
          </w:tcPr>
          <w:p w:rsidR="00105D37" w:rsidRDefault="00000000">
            <w:pPr>
              <w:spacing w:after="200"/>
              <w:rPr>
                <w:b/>
              </w:rPr>
            </w:pPr>
            <w:r>
              <w:rPr>
                <w:b/>
              </w:rPr>
              <w:lastRenderedPageBreak/>
              <w:t>Emotional/mental health</w:t>
            </w:r>
          </w:p>
        </w:tc>
        <w:tc>
          <w:tcPr>
            <w:tcW w:w="1530" w:type="dxa"/>
            <w:shd w:val="clear" w:color="auto" w:fill="auto"/>
            <w:tcMar>
              <w:top w:w="100" w:type="dxa"/>
              <w:left w:w="100" w:type="dxa"/>
              <w:bottom w:w="100" w:type="dxa"/>
              <w:right w:w="100" w:type="dxa"/>
            </w:tcMar>
          </w:tcPr>
          <w:p w:rsidR="00105D37" w:rsidRDefault="00000000">
            <w:pPr>
              <w:widowControl w:val="0"/>
              <w:spacing w:line="240" w:lineRule="auto"/>
              <w:rPr>
                <w:b/>
                <w:highlight w:val="white"/>
              </w:rPr>
            </w:pPr>
            <w:r>
              <w:rPr>
                <w:b/>
              </w:rPr>
              <w:t>yes/no</w:t>
            </w:r>
          </w:p>
        </w:tc>
        <w:tc>
          <w:tcPr>
            <w:tcW w:w="5925" w:type="dxa"/>
            <w:shd w:val="clear" w:color="auto" w:fill="auto"/>
            <w:tcMar>
              <w:top w:w="100" w:type="dxa"/>
              <w:left w:w="100" w:type="dxa"/>
              <w:bottom w:w="100" w:type="dxa"/>
              <w:right w:w="100" w:type="dxa"/>
            </w:tcMar>
          </w:tcPr>
          <w:p w:rsidR="00105D37" w:rsidRDefault="00000000">
            <w:pPr>
              <w:spacing w:after="200"/>
              <w:rPr>
                <w:highlight w:val="white"/>
              </w:rPr>
            </w:pPr>
            <w:r>
              <w:rPr>
                <w:highlight w:val="white"/>
              </w:rPr>
              <w:t>Improve my awareness of mental health (</w:t>
            </w:r>
            <w:hyperlink r:id="rId19">
              <w:r>
                <w:rPr>
                  <w:color w:val="1155CC"/>
                  <w:highlight w:val="white"/>
                  <w:u w:val="single"/>
                </w:rPr>
                <w:t>staff learning resources</w:t>
              </w:r>
            </w:hyperlink>
            <w:r>
              <w:rPr>
                <w:highlight w:val="white"/>
              </w:rPr>
              <w:t>)</w:t>
            </w:r>
          </w:p>
          <w:p w:rsidR="00105D37" w:rsidRDefault="00000000">
            <w:pPr>
              <w:spacing w:after="200"/>
              <w:rPr>
                <w:highlight w:val="white"/>
              </w:rPr>
            </w:pPr>
            <w:r>
              <w:rPr>
                <w:highlight w:val="white"/>
              </w:rPr>
              <w:t xml:space="preserve">Give meditation or mindfulness a go (see </w:t>
            </w:r>
            <w:hyperlink r:id="rId20">
              <w:r>
                <w:rPr>
                  <w:color w:val="1155CC"/>
                  <w:u w:val="single"/>
                </w:rPr>
                <w:t>Tips for managing stress</w:t>
              </w:r>
            </w:hyperlink>
            <w:r>
              <w:rPr>
                <w:highlight w:val="white"/>
              </w:rPr>
              <w:t xml:space="preserve"> for links or </w:t>
            </w:r>
            <w:hyperlink r:id="rId21">
              <w:r>
                <w:rPr>
                  <w:color w:val="1155CC"/>
                  <w:highlight w:val="white"/>
                  <w:u w:val="single"/>
                </w:rPr>
                <w:t>Wisdom App</w:t>
              </w:r>
            </w:hyperlink>
            <w:r>
              <w:rPr>
                <w:highlight w:val="white"/>
              </w:rPr>
              <w:t>)</w:t>
            </w:r>
          </w:p>
          <w:p w:rsidR="00105D37" w:rsidRDefault="00000000">
            <w:pPr>
              <w:spacing w:after="200"/>
              <w:rPr>
                <w:highlight w:val="white"/>
              </w:rPr>
            </w:pPr>
            <w:r>
              <w:rPr>
                <w:highlight w:val="white"/>
              </w:rPr>
              <w:t xml:space="preserve">Get some counselling to help me with xxx </w:t>
            </w:r>
            <w:hyperlink r:id="rId22">
              <w:r>
                <w:rPr>
                  <w:color w:val="1155CC"/>
                  <w:u w:val="single"/>
                </w:rPr>
                <w:t>(Counselling via EAP)</w:t>
              </w:r>
            </w:hyperlink>
          </w:p>
        </w:tc>
        <w:tc>
          <w:tcPr>
            <w:tcW w:w="1935" w:type="dxa"/>
            <w:shd w:val="clear" w:color="auto" w:fill="auto"/>
            <w:tcMar>
              <w:top w:w="100" w:type="dxa"/>
              <w:left w:w="100" w:type="dxa"/>
              <w:bottom w:w="100" w:type="dxa"/>
              <w:right w:w="100" w:type="dxa"/>
            </w:tcMar>
          </w:tcPr>
          <w:p w:rsidR="00105D37" w:rsidRDefault="00105D37">
            <w:pPr>
              <w:widowControl w:val="0"/>
              <w:spacing w:line="240" w:lineRule="auto"/>
              <w:rPr>
                <w:highlight w:val="white"/>
              </w:rPr>
            </w:pPr>
          </w:p>
        </w:tc>
        <w:tc>
          <w:tcPr>
            <w:tcW w:w="2265" w:type="dxa"/>
            <w:shd w:val="clear" w:color="auto" w:fill="auto"/>
            <w:tcMar>
              <w:top w:w="100" w:type="dxa"/>
              <w:left w:w="100" w:type="dxa"/>
              <w:bottom w:w="100" w:type="dxa"/>
              <w:right w:w="100" w:type="dxa"/>
            </w:tcMar>
          </w:tcPr>
          <w:p w:rsidR="00105D37" w:rsidRDefault="00105D37">
            <w:pPr>
              <w:widowControl w:val="0"/>
              <w:spacing w:line="240" w:lineRule="auto"/>
              <w:rPr>
                <w:highlight w:val="white"/>
              </w:rPr>
            </w:pPr>
          </w:p>
        </w:tc>
      </w:tr>
      <w:tr w:rsidR="00105D37" w:rsidTr="00DD7A50">
        <w:tc>
          <w:tcPr>
            <w:tcW w:w="2880" w:type="dxa"/>
            <w:shd w:val="clear" w:color="auto" w:fill="auto"/>
            <w:tcMar>
              <w:top w:w="100" w:type="dxa"/>
              <w:left w:w="100" w:type="dxa"/>
              <w:bottom w:w="100" w:type="dxa"/>
              <w:right w:w="100" w:type="dxa"/>
            </w:tcMar>
          </w:tcPr>
          <w:p w:rsidR="00105D37" w:rsidRDefault="00000000">
            <w:pPr>
              <w:spacing w:after="200"/>
              <w:rPr>
                <w:b/>
              </w:rPr>
            </w:pPr>
            <w:r>
              <w:rPr>
                <w:b/>
              </w:rPr>
              <w:t>Financial wellbeing</w:t>
            </w:r>
          </w:p>
        </w:tc>
        <w:tc>
          <w:tcPr>
            <w:tcW w:w="1530" w:type="dxa"/>
            <w:shd w:val="clear" w:color="auto" w:fill="auto"/>
            <w:tcMar>
              <w:top w:w="100" w:type="dxa"/>
              <w:left w:w="100" w:type="dxa"/>
              <w:bottom w:w="100" w:type="dxa"/>
              <w:right w:w="100" w:type="dxa"/>
            </w:tcMar>
          </w:tcPr>
          <w:p w:rsidR="00105D37" w:rsidRDefault="00000000">
            <w:pPr>
              <w:widowControl w:val="0"/>
              <w:spacing w:line="240" w:lineRule="auto"/>
              <w:rPr>
                <w:b/>
                <w:sz w:val="24"/>
                <w:szCs w:val="24"/>
                <w:highlight w:val="white"/>
              </w:rPr>
            </w:pPr>
            <w:r>
              <w:rPr>
                <w:b/>
              </w:rPr>
              <w:t>yes/no</w:t>
            </w:r>
          </w:p>
        </w:tc>
        <w:tc>
          <w:tcPr>
            <w:tcW w:w="5925" w:type="dxa"/>
            <w:shd w:val="clear" w:color="auto" w:fill="auto"/>
            <w:tcMar>
              <w:top w:w="100" w:type="dxa"/>
              <w:left w:w="100" w:type="dxa"/>
              <w:bottom w:w="100" w:type="dxa"/>
              <w:right w:w="100" w:type="dxa"/>
            </w:tcMar>
          </w:tcPr>
          <w:p w:rsidR="00105D37" w:rsidRDefault="00000000">
            <w:pPr>
              <w:spacing w:after="200"/>
              <w:rPr>
                <w:highlight w:val="white"/>
              </w:rPr>
            </w:pPr>
            <w:r>
              <w:rPr>
                <w:highlight w:val="white"/>
              </w:rPr>
              <w:t>Tackle [financial issue/concern] so I feel less out of control</w:t>
            </w:r>
          </w:p>
          <w:p w:rsidR="00105D37" w:rsidRDefault="00000000">
            <w:pPr>
              <w:spacing w:after="200"/>
              <w:rPr>
                <w:highlight w:val="white"/>
              </w:rPr>
            </w:pPr>
            <w:r>
              <w:rPr>
                <w:highlight w:val="white"/>
              </w:rPr>
              <w:t>Be more proactive around my personal finances/ budgets to see where I could save some money</w:t>
            </w:r>
          </w:p>
          <w:p w:rsidR="00105D37" w:rsidRDefault="00000000">
            <w:pPr>
              <w:spacing w:after="200"/>
              <w:rPr>
                <w:highlight w:val="white"/>
              </w:rPr>
            </w:pPr>
            <w:r>
              <w:rPr>
                <w:highlight w:val="white"/>
              </w:rPr>
              <w:t xml:space="preserve">(see </w:t>
            </w:r>
            <w:hyperlink r:id="rId23">
              <w:r>
                <w:rPr>
                  <w:color w:val="1155CC"/>
                  <w:highlight w:val="white"/>
                  <w:u w:val="single"/>
                </w:rPr>
                <w:t>range of resources</w:t>
              </w:r>
            </w:hyperlink>
            <w:r>
              <w:rPr>
                <w:highlight w:val="white"/>
              </w:rPr>
              <w:t xml:space="preserve"> including Financial coaching, workshops, and staff discounts also the</w:t>
            </w:r>
            <w:hyperlink r:id="rId24">
              <w:r>
                <w:rPr>
                  <w:color w:val="1155CC"/>
                  <w:highlight w:val="white"/>
                  <w:u w:val="single"/>
                </w:rPr>
                <w:t xml:space="preserve"> confidential helpline</w:t>
              </w:r>
            </w:hyperlink>
            <w:r>
              <w:rPr>
                <w:highlight w:val="white"/>
              </w:rPr>
              <w:t xml:space="preserve"> provides support and practical guidance)</w:t>
            </w:r>
          </w:p>
        </w:tc>
        <w:tc>
          <w:tcPr>
            <w:tcW w:w="1935" w:type="dxa"/>
            <w:shd w:val="clear" w:color="auto" w:fill="auto"/>
            <w:tcMar>
              <w:top w:w="100" w:type="dxa"/>
              <w:left w:w="100" w:type="dxa"/>
              <w:bottom w:w="100" w:type="dxa"/>
              <w:right w:w="100" w:type="dxa"/>
            </w:tcMar>
          </w:tcPr>
          <w:p w:rsidR="00105D37" w:rsidRDefault="00105D37">
            <w:pPr>
              <w:widowControl w:val="0"/>
              <w:spacing w:line="240" w:lineRule="auto"/>
              <w:rPr>
                <w:highlight w:val="white"/>
              </w:rPr>
            </w:pPr>
          </w:p>
        </w:tc>
        <w:tc>
          <w:tcPr>
            <w:tcW w:w="2265" w:type="dxa"/>
            <w:shd w:val="clear" w:color="auto" w:fill="auto"/>
            <w:tcMar>
              <w:top w:w="100" w:type="dxa"/>
              <w:left w:w="100" w:type="dxa"/>
              <w:bottom w:w="100" w:type="dxa"/>
              <w:right w:w="100" w:type="dxa"/>
            </w:tcMar>
          </w:tcPr>
          <w:p w:rsidR="00105D37" w:rsidRDefault="00105D37">
            <w:pPr>
              <w:widowControl w:val="0"/>
              <w:spacing w:line="240" w:lineRule="auto"/>
              <w:rPr>
                <w:highlight w:val="white"/>
              </w:rPr>
            </w:pPr>
          </w:p>
        </w:tc>
      </w:tr>
      <w:tr w:rsidR="00105D37" w:rsidTr="00DD7A50">
        <w:tc>
          <w:tcPr>
            <w:tcW w:w="2880" w:type="dxa"/>
            <w:shd w:val="clear" w:color="auto" w:fill="auto"/>
            <w:tcMar>
              <w:top w:w="100" w:type="dxa"/>
              <w:left w:w="100" w:type="dxa"/>
              <w:bottom w:w="100" w:type="dxa"/>
              <w:right w:w="100" w:type="dxa"/>
            </w:tcMar>
          </w:tcPr>
          <w:p w:rsidR="00105D37" w:rsidRDefault="00000000">
            <w:pPr>
              <w:spacing w:after="200"/>
              <w:rPr>
                <w:b/>
              </w:rPr>
            </w:pPr>
            <w:r>
              <w:rPr>
                <w:b/>
              </w:rPr>
              <w:t>Personal resources</w:t>
            </w:r>
          </w:p>
        </w:tc>
        <w:tc>
          <w:tcPr>
            <w:tcW w:w="1530" w:type="dxa"/>
            <w:shd w:val="clear" w:color="auto" w:fill="auto"/>
            <w:tcMar>
              <w:top w:w="100" w:type="dxa"/>
              <w:left w:w="100" w:type="dxa"/>
              <w:bottom w:w="100" w:type="dxa"/>
              <w:right w:w="100" w:type="dxa"/>
            </w:tcMar>
          </w:tcPr>
          <w:p w:rsidR="00105D37" w:rsidRDefault="00000000">
            <w:pPr>
              <w:widowControl w:val="0"/>
              <w:spacing w:line="240" w:lineRule="auto"/>
              <w:rPr>
                <w:b/>
                <w:sz w:val="24"/>
                <w:szCs w:val="24"/>
                <w:highlight w:val="white"/>
              </w:rPr>
            </w:pPr>
            <w:r>
              <w:rPr>
                <w:b/>
              </w:rPr>
              <w:t>yes/no</w:t>
            </w:r>
          </w:p>
        </w:tc>
        <w:tc>
          <w:tcPr>
            <w:tcW w:w="5925" w:type="dxa"/>
            <w:shd w:val="clear" w:color="auto" w:fill="auto"/>
            <w:tcMar>
              <w:top w:w="100" w:type="dxa"/>
              <w:left w:w="100" w:type="dxa"/>
              <w:bottom w:w="100" w:type="dxa"/>
              <w:right w:w="100" w:type="dxa"/>
            </w:tcMar>
          </w:tcPr>
          <w:p w:rsidR="00105D37" w:rsidRDefault="00000000">
            <w:pPr>
              <w:spacing w:after="200"/>
            </w:pPr>
            <w:r>
              <w:t xml:space="preserve">Better understand my personal resources by completing the </w:t>
            </w:r>
            <w:proofErr w:type="spellStart"/>
            <w:r>
              <w:t>i</w:t>
            </w:r>
            <w:proofErr w:type="spellEnd"/>
            <w:r>
              <w:t xml:space="preserve">-resilience questionnaire  </w:t>
            </w:r>
          </w:p>
          <w:p w:rsidR="00105D37" w:rsidRDefault="00000000">
            <w:pPr>
              <w:spacing w:after="200"/>
            </w:pPr>
            <w:r>
              <w:t xml:space="preserve">(see the </w:t>
            </w:r>
            <w:hyperlink r:id="rId25">
              <w:r>
                <w:rPr>
                  <w:color w:val="1155CC"/>
                  <w:u w:val="single"/>
                </w:rPr>
                <w:t>personal resources web pages</w:t>
              </w:r>
            </w:hyperlink>
            <w:r>
              <w:t xml:space="preserve"> and </w:t>
            </w:r>
            <w:hyperlink r:id="rId26">
              <w:r>
                <w:rPr>
                  <w:color w:val="1155CC"/>
                  <w:u w:val="single"/>
                </w:rPr>
                <w:t xml:space="preserve"> related workshops/e-learning</w:t>
              </w:r>
            </w:hyperlink>
            <w:r>
              <w:t>)</w:t>
            </w:r>
          </w:p>
        </w:tc>
        <w:tc>
          <w:tcPr>
            <w:tcW w:w="1935" w:type="dxa"/>
            <w:shd w:val="clear" w:color="auto" w:fill="auto"/>
            <w:tcMar>
              <w:top w:w="100" w:type="dxa"/>
              <w:left w:w="100" w:type="dxa"/>
              <w:bottom w:w="100" w:type="dxa"/>
              <w:right w:w="100" w:type="dxa"/>
            </w:tcMar>
          </w:tcPr>
          <w:p w:rsidR="00105D37" w:rsidRDefault="00105D37">
            <w:pPr>
              <w:widowControl w:val="0"/>
              <w:spacing w:line="240" w:lineRule="auto"/>
              <w:rPr>
                <w:highlight w:val="white"/>
              </w:rPr>
            </w:pPr>
          </w:p>
        </w:tc>
        <w:tc>
          <w:tcPr>
            <w:tcW w:w="2265" w:type="dxa"/>
            <w:shd w:val="clear" w:color="auto" w:fill="auto"/>
            <w:tcMar>
              <w:top w:w="100" w:type="dxa"/>
              <w:left w:w="100" w:type="dxa"/>
              <w:bottom w:w="100" w:type="dxa"/>
              <w:right w:w="100" w:type="dxa"/>
            </w:tcMar>
          </w:tcPr>
          <w:p w:rsidR="00105D37" w:rsidRDefault="00105D37">
            <w:pPr>
              <w:widowControl w:val="0"/>
              <w:spacing w:line="240" w:lineRule="auto"/>
              <w:rPr>
                <w:highlight w:val="white"/>
              </w:rPr>
            </w:pPr>
          </w:p>
        </w:tc>
      </w:tr>
      <w:tr w:rsidR="00105D37" w:rsidTr="00DD7A50">
        <w:tc>
          <w:tcPr>
            <w:tcW w:w="2880" w:type="dxa"/>
            <w:shd w:val="clear" w:color="auto" w:fill="auto"/>
            <w:tcMar>
              <w:top w:w="100" w:type="dxa"/>
              <w:left w:w="100" w:type="dxa"/>
              <w:bottom w:w="100" w:type="dxa"/>
              <w:right w:w="100" w:type="dxa"/>
            </w:tcMar>
          </w:tcPr>
          <w:p w:rsidR="00105D37" w:rsidRDefault="00000000">
            <w:pPr>
              <w:spacing w:after="200"/>
              <w:rPr>
                <w:b/>
                <w:i/>
              </w:rPr>
            </w:pPr>
            <w:r>
              <w:rPr>
                <w:b/>
                <w:i/>
              </w:rPr>
              <w:t>Other</w:t>
            </w:r>
          </w:p>
        </w:tc>
        <w:tc>
          <w:tcPr>
            <w:tcW w:w="1530" w:type="dxa"/>
            <w:shd w:val="clear" w:color="auto" w:fill="auto"/>
            <w:tcMar>
              <w:top w:w="100" w:type="dxa"/>
              <w:left w:w="100" w:type="dxa"/>
              <w:bottom w:w="100" w:type="dxa"/>
              <w:right w:w="100" w:type="dxa"/>
            </w:tcMar>
          </w:tcPr>
          <w:p w:rsidR="00105D37" w:rsidRDefault="00105D37">
            <w:pPr>
              <w:widowControl w:val="0"/>
              <w:spacing w:line="240" w:lineRule="auto"/>
              <w:rPr>
                <w:b/>
              </w:rPr>
            </w:pPr>
          </w:p>
        </w:tc>
        <w:tc>
          <w:tcPr>
            <w:tcW w:w="5925" w:type="dxa"/>
            <w:shd w:val="clear" w:color="auto" w:fill="auto"/>
            <w:tcMar>
              <w:top w:w="100" w:type="dxa"/>
              <w:left w:w="100" w:type="dxa"/>
              <w:bottom w:w="100" w:type="dxa"/>
              <w:right w:w="100" w:type="dxa"/>
            </w:tcMar>
          </w:tcPr>
          <w:p w:rsidR="00105D37" w:rsidRDefault="00000000">
            <w:pPr>
              <w:spacing w:after="200"/>
            </w:pPr>
            <w:r>
              <w:t xml:space="preserve">(The </w:t>
            </w:r>
            <w:hyperlink r:id="rId27">
              <w:r>
                <w:rPr>
                  <w:color w:val="1155CC"/>
                  <w:u w:val="single"/>
                </w:rPr>
                <w:t>employee health and wellbeing pages</w:t>
              </w:r>
            </w:hyperlink>
            <w:r>
              <w:t xml:space="preserve"> and </w:t>
            </w:r>
            <w:hyperlink r:id="rId28">
              <w:r>
                <w:rPr>
                  <w:color w:val="1155CC"/>
                  <w:u w:val="single"/>
                </w:rPr>
                <w:t>employee assistance programme</w:t>
              </w:r>
            </w:hyperlink>
            <w:r>
              <w:t xml:space="preserve"> provides a comprehensive range of resources, support and guidance) </w:t>
            </w:r>
          </w:p>
        </w:tc>
        <w:tc>
          <w:tcPr>
            <w:tcW w:w="1935" w:type="dxa"/>
            <w:shd w:val="clear" w:color="auto" w:fill="auto"/>
            <w:tcMar>
              <w:top w:w="100" w:type="dxa"/>
              <w:left w:w="100" w:type="dxa"/>
              <w:bottom w:w="100" w:type="dxa"/>
              <w:right w:w="100" w:type="dxa"/>
            </w:tcMar>
          </w:tcPr>
          <w:p w:rsidR="00105D37" w:rsidRDefault="00105D37">
            <w:pPr>
              <w:widowControl w:val="0"/>
              <w:spacing w:line="240" w:lineRule="auto"/>
              <w:rPr>
                <w:highlight w:val="white"/>
              </w:rPr>
            </w:pPr>
          </w:p>
        </w:tc>
        <w:tc>
          <w:tcPr>
            <w:tcW w:w="2265" w:type="dxa"/>
            <w:shd w:val="clear" w:color="auto" w:fill="auto"/>
            <w:tcMar>
              <w:top w:w="100" w:type="dxa"/>
              <w:left w:w="100" w:type="dxa"/>
              <w:bottom w:w="100" w:type="dxa"/>
              <w:right w:w="100" w:type="dxa"/>
            </w:tcMar>
          </w:tcPr>
          <w:p w:rsidR="00105D37" w:rsidRDefault="00105D37">
            <w:pPr>
              <w:widowControl w:val="0"/>
              <w:spacing w:line="240" w:lineRule="auto"/>
              <w:rPr>
                <w:highlight w:val="white"/>
              </w:rPr>
            </w:pPr>
          </w:p>
        </w:tc>
      </w:tr>
    </w:tbl>
    <w:p w:rsidR="00105D37" w:rsidRDefault="00105D37">
      <w:pPr>
        <w:spacing w:after="200"/>
        <w:ind w:left="-566"/>
      </w:pPr>
    </w:p>
    <w:sectPr w:rsidR="00105D37">
      <w:pgSz w:w="16834" w:h="11909" w:orient="landscape"/>
      <w:pgMar w:top="992" w:right="1440" w:bottom="857"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D37"/>
    <w:rsid w:val="00105D37"/>
    <w:rsid w:val="00DD7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1141BDCF-39AD-634E-A89F-68767B52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rookes.ac.uk/staff/working-at-brookes/health-safety-and-wellbeing/wellbeing/personal-resources" TargetMode="External"/><Relationship Id="rId13" Type="http://schemas.openxmlformats.org/officeDocument/2006/relationships/hyperlink" Target="https://sites.google.com/brookes.ac.uk/employeeassistanceprogramme/online-portal" TargetMode="External"/><Relationship Id="rId18" Type="http://schemas.openxmlformats.org/officeDocument/2006/relationships/hyperlink" Target="https://www.brookes.ac.uk/Staff/Working-at-Brookes/Benefits/Wellbeing/Volunteering" TargetMode="External"/><Relationship Id="rId26" Type="http://schemas.openxmlformats.org/officeDocument/2006/relationships/hyperlink" Target="https://staff-learning.brookes.ac.uk/totara/dashboard/index.php?id=85" TargetMode="External"/><Relationship Id="rId3" Type="http://schemas.openxmlformats.org/officeDocument/2006/relationships/webSettings" Target="webSettings.xml"/><Relationship Id="rId21" Type="http://schemas.openxmlformats.org/officeDocument/2006/relationships/hyperlink" Target="https://sites.google.com/brookes.ac.uk/employeeassistanceprogramme/wisdom-app" TargetMode="External"/><Relationship Id="rId7" Type="http://schemas.openxmlformats.org/officeDocument/2006/relationships/hyperlink" Target="https://oxford.gooddayatwork.co.uk/Login.aspx?prog=e787c111-fc58-4586-b04b-fa9ad1cc2f7e" TargetMode="External"/><Relationship Id="rId12" Type="http://schemas.openxmlformats.org/officeDocument/2006/relationships/hyperlink" Target="https://sites.google.com/brookes.ac.uk/employeeassistanceprogramme/wisdom-app" TargetMode="External"/><Relationship Id="rId17" Type="http://schemas.openxmlformats.org/officeDocument/2006/relationships/hyperlink" Target="https://www.brookes.ac.uk/staff/working-at-brookes/health-safety-and-wellbeing/wellbeing/improving-wellbeing" TargetMode="External"/><Relationship Id="rId25" Type="http://schemas.openxmlformats.org/officeDocument/2006/relationships/hyperlink" Target="https://www.brookes.ac.uk/staff/working-at-brookes/health-safety-and-wellbeing/wellbeing/personal-resources" TargetMode="External"/><Relationship Id="rId2" Type="http://schemas.openxmlformats.org/officeDocument/2006/relationships/settings" Target="settings.xml"/><Relationship Id="rId16" Type="http://schemas.openxmlformats.org/officeDocument/2006/relationships/hyperlink" Target="https://sites.google.com/brookes.ac.uk/employeeassistanceprogramme/wisdom-app" TargetMode="External"/><Relationship Id="rId20" Type="http://schemas.openxmlformats.org/officeDocument/2006/relationships/hyperlink" Target="https://www.brookes.ac.uk/staff/working-at-brookes/health-safety-and-wellbeing/wellbeing/stress-management/tips-for-managing-personal-stress"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rookes.ac.uk/staff/working-at-brookes/health-safety-and-wellbeing/wellbeing/stress-management/tips-for-managing-personal-stress" TargetMode="External"/><Relationship Id="rId11" Type="http://schemas.openxmlformats.org/officeDocument/2006/relationships/hyperlink" Target="https://sites.google.com/brookes.ac.uk/employeeassistanceprogramme/online-portal" TargetMode="External"/><Relationship Id="rId24" Type="http://schemas.openxmlformats.org/officeDocument/2006/relationships/hyperlink" Target="https://sites.google.com/brookes.ac.uk/employeeassistanceprogramme/confidential-helpline" TargetMode="External"/><Relationship Id="rId5" Type="http://schemas.openxmlformats.org/officeDocument/2006/relationships/hyperlink" Target="https://sites.google.com/brookes.ac.uk/employeeassistanceprogramme/home" TargetMode="External"/><Relationship Id="rId15" Type="http://schemas.openxmlformats.org/officeDocument/2006/relationships/hyperlink" Target="https://sites.google.com/brookes.ac.uk/employeeassistanceprogramme/online-portal" TargetMode="External"/><Relationship Id="rId23" Type="http://schemas.openxmlformats.org/officeDocument/2006/relationships/hyperlink" Target="https://www.brookes.ac.uk/staff/working-at-brookes/health-safety-and-wellbeing/wellbeing/help-with-cost-of-living" TargetMode="External"/><Relationship Id="rId28" Type="http://schemas.openxmlformats.org/officeDocument/2006/relationships/hyperlink" Target="https://sites.google.com/brookes.ac.uk/employeeassistanceprogramme/home" TargetMode="External"/><Relationship Id="rId10" Type="http://schemas.openxmlformats.org/officeDocument/2006/relationships/hyperlink" Target="https://www.brookes.ac.uk/staff/working-at-brookes/health-safety-and-wellbeing/wellbeing/improving-wellbeing" TargetMode="External"/><Relationship Id="rId19" Type="http://schemas.openxmlformats.org/officeDocument/2006/relationships/hyperlink" Target="https://staff-learning.brookes.ac.uk/totara/dashboard/index.php?id=85" TargetMode="External"/><Relationship Id="rId4" Type="http://schemas.openxmlformats.org/officeDocument/2006/relationships/hyperlink" Target="https://www.brookes.ac.uk/staff/working-at-brookes/employment-policies/stress" TargetMode="External"/><Relationship Id="rId9" Type="http://schemas.openxmlformats.org/officeDocument/2006/relationships/hyperlink" Target="https://www.brookes.ac.uk/staff/working-at-brookes/health-safety-and-wellbeing/wellbeing/improving-wellbeing" TargetMode="External"/><Relationship Id="rId14" Type="http://schemas.openxmlformats.org/officeDocument/2006/relationships/hyperlink" Target="https://sites.google.com/brookes.ac.uk/employeeassistanceprogramme/wisdom-app" TargetMode="External"/><Relationship Id="rId22" Type="http://schemas.openxmlformats.org/officeDocument/2006/relationships/hyperlink" Target="https://sites.google.com/brookes.ac.uk/employeeassistanceprogramme/counselling" TargetMode="External"/><Relationship Id="rId27" Type="http://schemas.openxmlformats.org/officeDocument/2006/relationships/hyperlink" Target="https://www.brookes.ac.uk/staff/working-at-brookes/health-safety-and-wellbeing/wellbein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886</Words>
  <Characters>5054</Characters>
  <Application>Microsoft Office Word</Application>
  <DocSecurity>0</DocSecurity>
  <Lines>133</Lines>
  <Paragraphs>50</Paragraphs>
  <ScaleCrop>false</ScaleCrop>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 Drewett</cp:lastModifiedBy>
  <cp:revision>2</cp:revision>
  <dcterms:created xsi:type="dcterms:W3CDTF">2024-03-15T17:31:00Z</dcterms:created>
  <dcterms:modified xsi:type="dcterms:W3CDTF">2024-03-15T17:32:00Z</dcterms:modified>
</cp:coreProperties>
</file>