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B0" w:rsidRDefault="00915EBA">
      <w:pPr>
        <w:spacing w:after="331" w:line="259" w:lineRule="auto"/>
        <w:ind w:left="-611" w:right="-154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251700" cy="1200150"/>
                <wp:effectExtent l="0" t="0" r="0" b="0"/>
                <wp:docPr id="3743" name="Group 3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0" cy="1200150"/>
                          <a:chOff x="0" y="0"/>
                          <a:chExt cx="7251700" cy="1200150"/>
                        </a:xfrm>
                      </wpg:grpSpPr>
                      <pic:pic xmlns:pic="http://schemas.openxmlformats.org/drawingml/2006/picture">
                        <pic:nvPicPr>
                          <pic:cNvPr id="4886" name="Picture 48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-3049"/>
                            <a:ext cx="7254240" cy="120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89075" y="302304"/>
                            <a:ext cx="46769" cy="18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CB0" w:rsidRDefault="00915EB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89075" y="447845"/>
                            <a:ext cx="46769" cy="18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CB0" w:rsidRDefault="00915EB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87" name="Picture 48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-3049"/>
                            <a:ext cx="7254240" cy="1203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3" style="width:571pt;height:94.5pt;mso-position-horizontal-relative:char;mso-position-vertical-relative:line" coordsize="72517,12001">
                <v:shape id="Picture 4886" style="position:absolute;width:72542;height:12039;left:-30;top:-30;" filled="f">
                  <v:imagedata r:id="rId6"/>
                </v:shape>
                <v:rect id="Rectangle 8" style="position:absolute;width:467;height:1879;left:9890;top:3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67;height:1879;left:9890;top:4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4887" style="position:absolute;width:72542;height:12039;left:-30;top:-30;" filled="f">
                  <v:imagedata r:id="rId6"/>
                </v:shape>
              </v:group>
            </w:pict>
          </mc:Fallback>
        </mc:AlternateContent>
      </w:r>
    </w:p>
    <w:p w:rsidR="00447CB0" w:rsidRDefault="00915EBA">
      <w:pPr>
        <w:pStyle w:val="Heading1"/>
        <w:ind w:left="-5"/>
      </w:pPr>
      <w:r>
        <w:t xml:space="preserve">Job description </w:t>
      </w:r>
    </w:p>
    <w:p w:rsidR="00447CB0" w:rsidRDefault="00915E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Date last reviewed</w:t>
      </w:r>
      <w:r>
        <w:t xml:space="preserve">: June 2013 </w:t>
      </w:r>
    </w:p>
    <w:p w:rsidR="00447CB0" w:rsidRDefault="00915E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 xml:space="preserve">Faculty/Directorate: </w:t>
      </w:r>
      <w:r>
        <w:t xml:space="preserve"> </w:t>
      </w:r>
    </w:p>
    <w:p w:rsidR="00447CB0" w:rsidRDefault="00915E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Department</w:t>
      </w:r>
      <w:r>
        <w:t xml:space="preserve">:  </w:t>
      </w:r>
    </w:p>
    <w:p w:rsidR="00447CB0" w:rsidRDefault="00915E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47CB0" w:rsidRDefault="00915EBA">
      <w:pPr>
        <w:ind w:left="0" w:firstLine="0"/>
      </w:pPr>
      <w:r>
        <w:rPr>
          <w:b/>
        </w:rPr>
        <w:t>Title of post</w:t>
      </w:r>
      <w:r>
        <w:t xml:space="preserve">: </w:t>
      </w:r>
      <w:bookmarkStart w:id="0" w:name="_GoBack"/>
      <w:r>
        <w:t>Research Grants Officer</w:t>
      </w:r>
      <w:bookmarkEnd w:id="0"/>
      <w:r>
        <w:t xml:space="preserve"> 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Grade of post</w:t>
      </w:r>
      <w:r>
        <w:t xml:space="preserve">: 7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Post number</w:t>
      </w:r>
      <w:r>
        <w:t xml:space="preserve">: 18176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FT or % P/T</w:t>
      </w:r>
      <w:r>
        <w:t xml:space="preserve">: Full-time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Permanent/Temporary</w:t>
      </w:r>
      <w:r>
        <w:t xml:space="preserve">: Permanent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0" w:firstLine="0"/>
      </w:pPr>
      <w:r>
        <w:rPr>
          <w:b/>
        </w:rPr>
        <w:t>Principal location of work</w:t>
      </w:r>
      <w:r>
        <w:t xml:space="preserve">: Harcourt Hill and Headington campus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Immediate line manager</w:t>
      </w:r>
      <w:r>
        <w:t xml:space="preserve">: Research Manager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>Staff managed</w:t>
      </w:r>
      <w:r>
        <w:t xml:space="preserve">: None </w:t>
      </w:r>
    </w:p>
    <w:p w:rsidR="00447CB0" w:rsidRDefault="00915E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47CB0" w:rsidRDefault="00915EBA">
      <w:pPr>
        <w:ind w:left="0" w:firstLine="0"/>
      </w:pPr>
      <w:r>
        <w:rPr>
          <w:b/>
        </w:rPr>
        <w:t>Qualifications required for post</w:t>
      </w:r>
      <w:r>
        <w:t xml:space="preserve">: A levels or significant relevant experience. 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0" w:right="790" w:firstLine="0"/>
      </w:pPr>
      <w:r>
        <w:rPr>
          <w:b/>
        </w:rPr>
        <w:t>Experience required for post</w:t>
      </w:r>
      <w:r>
        <w:t>: Significa</w:t>
      </w:r>
      <w:r>
        <w:t xml:space="preserve">nt administrative and financial experience in a research organisation and / or Higher Education </w:t>
      </w:r>
    </w:p>
    <w:p w:rsidR="00447CB0" w:rsidRDefault="00915EBA">
      <w:pPr>
        <w:spacing w:after="0" w:line="259" w:lineRule="auto"/>
        <w:ind w:left="0" w:firstLine="0"/>
        <w:jc w:val="left"/>
      </w:pPr>
      <w:r>
        <w:t xml:space="preserve"> </w:t>
      </w:r>
    </w:p>
    <w:p w:rsidR="00447CB0" w:rsidRDefault="00915EBA">
      <w:pPr>
        <w:ind w:left="0" w:firstLine="0"/>
      </w:pPr>
      <w:r>
        <w:rPr>
          <w:b/>
        </w:rPr>
        <w:t>Overall purpose of post</w:t>
      </w:r>
      <w:r>
        <w:t>: To support the Associate Dean, Research &amp; Knowledge Exchange and Research Manager in the implementation and promotion of the Faculty</w:t>
      </w:r>
      <w:r>
        <w:t xml:space="preserve">’s research and Knowledge Exchange strategies. To advise and guide staff applying for external grants and provide post award support for the duration of the award with a focus on the pre and post award financial management of grants. </w:t>
      </w:r>
    </w:p>
    <w:p w:rsidR="00447CB0" w:rsidRDefault="00915EBA">
      <w:pPr>
        <w:spacing w:after="0" w:line="259" w:lineRule="auto"/>
        <w:ind w:left="851" w:firstLine="0"/>
        <w:jc w:val="left"/>
      </w:pPr>
      <w:r>
        <w:t xml:space="preserve"> </w:t>
      </w:r>
    </w:p>
    <w:p w:rsidR="00447CB0" w:rsidRDefault="00915EBA">
      <w:pPr>
        <w:ind w:left="-5" w:hanging="10"/>
        <w:jc w:val="left"/>
      </w:pPr>
      <w:r>
        <w:rPr>
          <w:b/>
        </w:rPr>
        <w:t xml:space="preserve">Main duties:  </w:t>
      </w:r>
    </w:p>
    <w:p w:rsidR="00447CB0" w:rsidRDefault="00915E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Liaise closely with faculty finance and RBDO helping and advising Principal</w:t>
      </w:r>
      <w:r>
        <w:rPr>
          <w:b/>
        </w:rPr>
        <w:t xml:space="preserve"> </w:t>
      </w:r>
      <w:r>
        <w:t>Investigators on all aspects of external grant submission, from alerting</w:t>
      </w:r>
      <w:r>
        <w:rPr>
          <w:b/>
        </w:rPr>
        <w:t xml:space="preserve"> </w:t>
      </w:r>
      <w:r>
        <w:t>researchers of funding opportunities to timely submission of grant, accurate</w:t>
      </w:r>
      <w:r>
        <w:rPr>
          <w:b/>
        </w:rPr>
        <w:t xml:space="preserve"> </w:t>
      </w:r>
      <w:r>
        <w:t xml:space="preserve">financial costings using </w:t>
      </w:r>
      <w:proofErr w:type="spellStart"/>
      <w:r>
        <w:t>pFact</w:t>
      </w:r>
      <w:proofErr w:type="spellEnd"/>
      <w:r>
        <w:t>, ensuring quality of the submission, adherence to</w:t>
      </w:r>
      <w:r>
        <w:rPr>
          <w:b/>
        </w:rPr>
        <w:t xml:space="preserve"> </w:t>
      </w:r>
      <w:r>
        <w:t>internal and external guidelines and deadlines and finally advising senior</w:t>
      </w:r>
      <w:r>
        <w:rPr>
          <w:b/>
        </w:rPr>
        <w:t xml:space="preserve"> </w:t>
      </w:r>
      <w:r>
        <w:t>management on approval of the proposal.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Support the Research Manager in the management of the Facul</w:t>
      </w:r>
      <w:r>
        <w:t>ty’s external</w:t>
      </w:r>
      <w:r>
        <w:rPr>
          <w:b/>
        </w:rPr>
        <w:t xml:space="preserve"> </w:t>
      </w:r>
      <w:r>
        <w:t>grant application process.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Support the Chair of the Grants Panel and individual staff in identifying funding</w:t>
      </w:r>
      <w:r>
        <w:rPr>
          <w:b/>
        </w:rPr>
        <w:t xml:space="preserve"> </w:t>
      </w:r>
      <w:r>
        <w:t>opportunities and advise on the planning and writing of funding applications; to</w:t>
      </w:r>
      <w:r>
        <w:rPr>
          <w:b/>
        </w:rPr>
        <w:t xml:space="preserve"> </w:t>
      </w:r>
      <w:r>
        <w:t>monitor the outcomes, in collaboration with the Ass</w:t>
      </w:r>
      <w:r>
        <w:t>ociate Dean (Research &amp;</w:t>
      </w:r>
      <w:r>
        <w:rPr>
          <w:b/>
        </w:rPr>
        <w:t xml:space="preserve"> </w:t>
      </w:r>
      <w:r>
        <w:t>Knowledge Exchange) and Chair of the Grants Panel.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Develop and maintain appropriate databases and provide Faculty management</w:t>
      </w:r>
      <w:r>
        <w:rPr>
          <w:b/>
        </w:rPr>
        <w:t xml:space="preserve"> </w:t>
      </w:r>
      <w:r>
        <w:t>with appropriate information and analysis.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spacing w:after="929"/>
        <w:ind w:hanging="283"/>
      </w:pPr>
      <w:r>
        <w:t>Liaise with the University's central research support services</w:t>
      </w:r>
      <w:r>
        <w:t xml:space="preserve"> and with external</w:t>
      </w:r>
      <w:r>
        <w:rPr>
          <w:b/>
        </w:rPr>
        <w:t xml:space="preserve"> </w:t>
      </w:r>
      <w:r>
        <w:t>organisations, including HEFCE, research councils and charities to identify new</w:t>
      </w:r>
      <w:r>
        <w:rPr>
          <w:b/>
        </w:rPr>
        <w:t xml:space="preserve"> </w:t>
      </w:r>
      <w:r>
        <w:t>funding streams and research opportunities. To ensure reporting requirements to</w:t>
      </w:r>
      <w:r>
        <w:rPr>
          <w:b/>
        </w:rPr>
        <w:t xml:space="preserve"> </w:t>
      </w:r>
      <w:r>
        <w:t>all internal and external funding bodies are fully complied with.</w:t>
      </w:r>
      <w:r>
        <w:rPr>
          <w:b/>
        </w:rPr>
        <w:t xml:space="preserve"> </w:t>
      </w:r>
    </w:p>
    <w:p w:rsidR="00447CB0" w:rsidRDefault="00915EBA">
      <w:pPr>
        <w:spacing w:after="0" w:line="259" w:lineRule="auto"/>
        <w:ind w:left="947" w:firstLine="0"/>
        <w:jc w:val="left"/>
      </w:pPr>
      <w:r>
        <w:lastRenderedPageBreak/>
        <w:t xml:space="preserve"> </w:t>
      </w:r>
    </w:p>
    <w:p w:rsidR="00447CB0" w:rsidRDefault="00915EBA">
      <w:pPr>
        <w:spacing w:after="0" w:line="259" w:lineRule="auto"/>
        <w:ind w:left="947" w:firstLine="0"/>
        <w:jc w:val="left"/>
      </w:pPr>
      <w:r>
        <w:t xml:space="preserve"> </w:t>
      </w:r>
    </w:p>
    <w:p w:rsidR="00447CB0" w:rsidRDefault="00915EBA">
      <w:pPr>
        <w:spacing w:after="830" w:line="259" w:lineRule="auto"/>
        <w:ind w:left="851" w:firstLine="0"/>
        <w:jc w:val="left"/>
      </w:pPr>
      <w: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Depu</w:t>
      </w:r>
      <w:r>
        <w:t>tise for the Research Manager when required in their capacity as a member</w:t>
      </w:r>
      <w:r>
        <w:rPr>
          <w:b/>
        </w:rPr>
        <w:t xml:space="preserve"> </w:t>
      </w:r>
      <w:r>
        <w:t xml:space="preserve">of the Faculty Research &amp; Knowledge Exchange Committee and the </w:t>
      </w:r>
      <w:proofErr w:type="spellStart"/>
      <w:r>
        <w:t>FacultyGrants</w:t>
      </w:r>
      <w:proofErr w:type="spellEnd"/>
      <w:r>
        <w:t xml:space="preserve"> Panel. Act as secretary to the panels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 xml:space="preserve">Provide administrative support to relevant staff for contract bid </w:t>
      </w:r>
      <w:r>
        <w:t>writing, tendering</w:t>
      </w:r>
      <w:r>
        <w:rPr>
          <w:b/>
        </w:rPr>
        <w:t xml:space="preserve"> </w:t>
      </w:r>
      <w:r>
        <w:t>and the monitoring of consultancy outputs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Support the organisation of, and publicity for faculty research events, liaising</w:t>
      </w:r>
      <w:r>
        <w:rPr>
          <w:b/>
        </w:rPr>
        <w:t xml:space="preserve"> </w:t>
      </w:r>
      <w:r>
        <w:t>closely with faculty marketing, research staff from other faculties and external</w:t>
      </w:r>
      <w:r>
        <w:rPr>
          <w:b/>
        </w:rPr>
        <w:t xml:space="preserve"> </w:t>
      </w:r>
      <w:r>
        <w:t xml:space="preserve">organisations as appropriate in </w:t>
      </w:r>
      <w:r>
        <w:t>conjunction with the Research Manager.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Undertake income-generating and outreach activities, to meet the Faculty’s</w:t>
      </w:r>
      <w:r>
        <w:rPr>
          <w:b/>
        </w:rPr>
        <w:t xml:space="preserve"> </w:t>
      </w:r>
      <w:r>
        <w:t>objectives in the areas of research, consultancy and gift-giving.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 xml:space="preserve">Ensure that the research Information pages on the web are kept up to date </w:t>
      </w:r>
      <w:r>
        <w:t>and</w:t>
      </w:r>
      <w:r>
        <w:rPr>
          <w:b/>
        </w:rPr>
        <w:t xml:space="preserve"> </w:t>
      </w:r>
      <w:r>
        <w:t>that research outputs are transferred onto RADAR as appropriate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Maintain and develop relationships with the University Central research function,</w:t>
      </w:r>
      <w:r>
        <w:rPr>
          <w:b/>
        </w:rPr>
        <w:t xml:space="preserve"> </w:t>
      </w:r>
      <w:r>
        <w:t>HEFCE, Research Councils and all other funding bodies so as to keep up to date</w:t>
      </w:r>
      <w:r>
        <w:rPr>
          <w:b/>
        </w:rPr>
        <w:t xml:space="preserve"> </w:t>
      </w:r>
      <w:r>
        <w:t>with professional knowledg</w:t>
      </w:r>
      <w:r>
        <w:t>e and best be able to advise staff and promote the</w:t>
      </w:r>
      <w:r>
        <w:rPr>
          <w:b/>
        </w:rPr>
        <w:t xml:space="preserve"> </w:t>
      </w:r>
      <w:r>
        <w:t>Faculty’s objective of improving the quality and quantity of submissions and the</w:t>
      </w:r>
      <w:r>
        <w:rPr>
          <w:b/>
        </w:rPr>
        <w:t xml:space="preserve"> </w:t>
      </w:r>
      <w:r>
        <w:t>success rate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Maintain detailed and systematic records of all aspects of Research activity</w:t>
      </w:r>
      <w:r>
        <w:rPr>
          <w:b/>
        </w:rPr>
        <w:t xml:space="preserve"> </w:t>
      </w:r>
      <w:r>
        <w:t>including internal and external g</w:t>
      </w:r>
      <w:r>
        <w:t>rants for multiple purposes including Annual</w:t>
      </w:r>
      <w:r>
        <w:rPr>
          <w:b/>
        </w:rPr>
        <w:t xml:space="preserve"> </w:t>
      </w:r>
      <w:r>
        <w:t>review, Deans Report to the University and Research Excellence Framework</w:t>
      </w:r>
      <w:r>
        <w:rPr>
          <w:b/>
        </w:rPr>
        <w:t xml:space="preserve"> </w:t>
      </w:r>
    </w:p>
    <w:p w:rsidR="00447CB0" w:rsidRDefault="00915EBA">
      <w:pPr>
        <w:numPr>
          <w:ilvl w:val="0"/>
          <w:numId w:val="1"/>
        </w:numPr>
        <w:ind w:hanging="283"/>
      </w:pPr>
      <w:r>
        <w:t>Undertake any other duties commensurate with the grade and level of</w:t>
      </w:r>
      <w:r>
        <w:rPr>
          <w:b/>
        </w:rPr>
        <w:t xml:space="preserve"> </w:t>
      </w:r>
      <w:r>
        <w:t>responsibility of this post for which the post holder has the necessa</w:t>
      </w:r>
      <w:r>
        <w:t>ry experience</w:t>
      </w:r>
      <w:r>
        <w:rPr>
          <w:b/>
        </w:rPr>
        <w:t xml:space="preserve"> </w:t>
      </w:r>
      <w:r>
        <w:t xml:space="preserve">and or training. </w:t>
      </w:r>
      <w:r>
        <w:rPr>
          <w:b/>
        </w:rPr>
        <w:t xml:space="preserve"> </w:t>
      </w:r>
    </w:p>
    <w:p w:rsidR="00447CB0" w:rsidRDefault="00915EBA">
      <w:pPr>
        <w:ind w:left="-15" w:firstLine="7625"/>
        <w:jc w:val="left"/>
      </w:pPr>
      <w:r>
        <w:rPr>
          <w:b/>
        </w:rPr>
        <w:t xml:space="preserve">Ref: ***/18176/BC Closing date:  </w:t>
      </w:r>
    </w:p>
    <w:p w:rsidR="00447CB0" w:rsidRDefault="00915EBA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:rsidR="00447CB0" w:rsidRDefault="00915EBA">
      <w:pPr>
        <w:spacing w:after="0" w:line="259" w:lineRule="auto"/>
        <w:ind w:left="851" w:firstLine="0"/>
        <w:jc w:val="left"/>
      </w:pPr>
      <w:r>
        <w:t xml:space="preserve"> </w:t>
      </w:r>
    </w:p>
    <w:p w:rsidR="00447CB0" w:rsidRDefault="00915EBA">
      <w:pPr>
        <w:spacing w:after="0" w:line="259" w:lineRule="auto"/>
        <w:ind w:left="851" w:firstLine="0"/>
        <w:jc w:val="left"/>
      </w:pPr>
      <w:r>
        <w:t xml:space="preserve"> </w:t>
      </w:r>
    </w:p>
    <w:p w:rsidR="00447CB0" w:rsidRDefault="00915EBA" w:rsidP="00915EBA">
      <w:pPr>
        <w:spacing w:after="7865" w:line="259" w:lineRule="auto"/>
        <w:ind w:left="851" w:firstLine="0"/>
        <w:jc w:val="left"/>
      </w:pPr>
      <w:r>
        <w:t xml:space="preserve"> </w:t>
      </w:r>
    </w:p>
    <w:sectPr w:rsidR="00447CB0">
      <w:pgSz w:w="11900" w:h="16840"/>
      <w:pgMar w:top="240" w:right="1789" w:bottom="71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81B30"/>
    <w:multiLevelType w:val="hybridMultilevel"/>
    <w:tmpl w:val="7CBA6358"/>
    <w:lvl w:ilvl="0" w:tplc="B91279D2">
      <w:start w:val="1"/>
      <w:numFmt w:val="bullet"/>
      <w:lvlText w:val="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EBB60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4C80E2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4CD5E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E2C2A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4C6AE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22022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DA769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E1B4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B0"/>
    <w:rsid w:val="00447CB0"/>
    <w:rsid w:val="0091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4777"/>
  <w15:docId w15:val="{B82C8FA5-3F1B-452D-AAD4-257A2BEB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293" w:hanging="293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 Grants Officer_Clean (1).doc</vt:lpstr>
    </vt:vector>
  </TitlesOfParts>
  <Company>Oxford Brookes University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 Grants Officer_Clean (1).doc</dc:title>
  <dc:subject/>
  <dc:creator>DREWETT, LIZ</dc:creator>
  <cp:keywords/>
  <cp:lastModifiedBy>Laura Fortuna</cp:lastModifiedBy>
  <cp:revision>2</cp:revision>
  <dcterms:created xsi:type="dcterms:W3CDTF">2018-02-23T12:55:00Z</dcterms:created>
  <dcterms:modified xsi:type="dcterms:W3CDTF">2018-02-23T12:55:00Z</dcterms:modified>
</cp:coreProperties>
</file>