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A65EC" w14:textId="77777777" w:rsidR="00AB5EDA" w:rsidRPr="00C3453E" w:rsidRDefault="002139BA">
      <w:pPr>
        <w:pBdr>
          <w:top w:val="nil"/>
          <w:left w:val="nil"/>
          <w:bottom w:val="nil"/>
          <w:right w:val="nil"/>
          <w:between w:val="nil"/>
        </w:pBdr>
        <w:spacing w:after="0" w:line="240" w:lineRule="auto"/>
        <w:rPr>
          <w:rFonts w:asciiTheme="minorHAnsi" w:hAnsiTheme="minorHAnsi" w:cstheme="minorHAnsi"/>
          <w:b/>
          <w:color w:val="000000"/>
        </w:rPr>
      </w:pPr>
      <w:bookmarkStart w:id="0" w:name="_GoBack"/>
      <w:bookmarkEnd w:id="0"/>
      <w:r w:rsidRPr="00C3453E">
        <w:rPr>
          <w:rFonts w:asciiTheme="minorHAnsi" w:hAnsiTheme="minorHAnsi" w:cstheme="minorHAnsi"/>
          <w:b/>
        </w:rPr>
        <w:t xml:space="preserve">TEMPLATE </w:t>
      </w:r>
      <w:r w:rsidRPr="00C3453E">
        <w:rPr>
          <w:rFonts w:asciiTheme="minorHAnsi" w:hAnsiTheme="minorHAnsi" w:cstheme="minorHAnsi"/>
          <w:b/>
          <w:color w:val="000000"/>
        </w:rPr>
        <w:t xml:space="preserve">CRITICAL APPRAISAL FOR </w:t>
      </w:r>
      <w:r w:rsidR="0080391E">
        <w:rPr>
          <w:rFonts w:asciiTheme="minorHAnsi" w:hAnsiTheme="minorHAnsi" w:cstheme="minorHAnsi"/>
          <w:b/>
          <w:color w:val="000000"/>
        </w:rPr>
        <w:t>READER</w:t>
      </w:r>
      <w:r w:rsidRPr="00C3453E">
        <w:rPr>
          <w:rFonts w:asciiTheme="minorHAnsi" w:hAnsiTheme="minorHAnsi" w:cstheme="minorHAnsi"/>
          <w:b/>
          <w:color w:val="000000"/>
        </w:rPr>
        <w:t xml:space="preserve"> PROMOTION</w:t>
      </w:r>
    </w:p>
    <w:p w14:paraId="1DC4F46A" w14:textId="77777777" w:rsidR="00AB5EDA" w:rsidRPr="00C3453E" w:rsidRDefault="00AB5EDA">
      <w:pPr>
        <w:pBdr>
          <w:top w:val="nil"/>
          <w:left w:val="nil"/>
          <w:bottom w:val="nil"/>
          <w:right w:val="nil"/>
          <w:between w:val="nil"/>
        </w:pBdr>
        <w:spacing w:after="0" w:line="240" w:lineRule="auto"/>
        <w:rPr>
          <w:rFonts w:asciiTheme="minorHAnsi" w:hAnsiTheme="minorHAnsi" w:cstheme="minorHAnsi"/>
          <w:b/>
          <w:color w:val="000000"/>
        </w:rPr>
      </w:pPr>
    </w:p>
    <w:p w14:paraId="27E14CA4" w14:textId="77777777" w:rsidR="00AB5EDA" w:rsidRPr="00350E85" w:rsidRDefault="002139BA">
      <w:pPr>
        <w:pBdr>
          <w:top w:val="nil"/>
          <w:left w:val="nil"/>
          <w:bottom w:val="nil"/>
          <w:right w:val="nil"/>
          <w:between w:val="nil"/>
        </w:pBdr>
        <w:spacing w:after="0" w:line="240" w:lineRule="auto"/>
        <w:rPr>
          <w:rFonts w:asciiTheme="minorHAnsi" w:hAnsiTheme="minorHAnsi" w:cstheme="minorHAnsi"/>
          <w:b/>
        </w:rPr>
      </w:pPr>
      <w:r w:rsidRPr="00350E85">
        <w:rPr>
          <w:rFonts w:asciiTheme="minorHAnsi" w:hAnsiTheme="minorHAnsi" w:cstheme="minorHAnsi"/>
          <w:b/>
          <w:color w:val="000000"/>
        </w:rPr>
        <w:t>Summary assessment of application</w:t>
      </w:r>
    </w:p>
    <w:p w14:paraId="49ED5005" w14:textId="7CF2F978" w:rsidR="000A2018" w:rsidRPr="00350E85" w:rsidRDefault="000A2018" w:rsidP="000A2018">
      <w:pPr>
        <w:spacing w:after="0" w:line="240" w:lineRule="auto"/>
        <w:jc w:val="both"/>
        <w:rPr>
          <w:rFonts w:asciiTheme="minorHAnsi" w:eastAsia="Times New Roman" w:hAnsiTheme="minorHAnsi" w:cstheme="minorHAnsi"/>
        </w:rPr>
      </w:pPr>
      <w:bookmarkStart w:id="1" w:name="_Hlk126845328"/>
      <w:r w:rsidRPr="00350E85">
        <w:rPr>
          <w:rFonts w:asciiTheme="minorHAnsi" w:eastAsia="Times New Roman" w:hAnsiTheme="minorHAnsi" w:cstheme="minorHAnsi"/>
          <w:color w:val="FF0000"/>
        </w:rPr>
        <w:t xml:space="preserve">Please write two or three paragraphs here. This section is important for </w:t>
      </w:r>
      <w:r>
        <w:rPr>
          <w:rFonts w:asciiTheme="minorHAnsi" w:eastAsia="Times New Roman" w:hAnsiTheme="minorHAnsi" w:cstheme="minorHAnsi"/>
          <w:color w:val="FF0000"/>
        </w:rPr>
        <w:t xml:space="preserve">summarising your assessment and </w:t>
      </w:r>
      <w:r w:rsidRPr="00350E85">
        <w:rPr>
          <w:rFonts w:asciiTheme="minorHAnsi" w:eastAsia="Times New Roman" w:hAnsiTheme="minorHAnsi" w:cstheme="minorHAnsi"/>
          <w:color w:val="FF0000"/>
        </w:rPr>
        <w:t>context setting</w:t>
      </w:r>
      <w:r>
        <w:rPr>
          <w:rFonts w:asciiTheme="minorHAnsi" w:eastAsia="Times New Roman" w:hAnsiTheme="minorHAnsi" w:cstheme="minorHAnsi"/>
          <w:color w:val="FF0000"/>
        </w:rPr>
        <w:t>,</w:t>
      </w:r>
      <w:r w:rsidRPr="00350E85">
        <w:rPr>
          <w:rFonts w:asciiTheme="minorHAnsi" w:eastAsia="Times New Roman" w:hAnsiTheme="minorHAnsi" w:cstheme="minorHAnsi"/>
          <w:color w:val="FF0000"/>
        </w:rPr>
        <w:t xml:space="preserve"> including previous applications, career breaks and anything atypical that needs addressing.</w:t>
      </w:r>
      <w:r>
        <w:rPr>
          <w:rFonts w:asciiTheme="minorHAnsi" w:eastAsia="Times New Roman" w:hAnsiTheme="minorHAnsi" w:cstheme="minorHAnsi"/>
          <w:color w:val="FF0000"/>
        </w:rPr>
        <w:t xml:space="preserve"> Please note that most criteria must be met for promotion. Therefore, if you have indicated that several criteria are not met, you should not support the application. Conversely, if all criteria are met, it should follow that the application is supported.</w:t>
      </w:r>
    </w:p>
    <w:bookmarkEnd w:id="1"/>
    <w:p w14:paraId="09460A05" w14:textId="3023B77B" w:rsidR="00856F5C" w:rsidRPr="00350E85" w:rsidRDefault="00856F5C" w:rsidP="00856F5C">
      <w:pPr>
        <w:spacing w:after="0" w:line="240" w:lineRule="auto"/>
        <w:jc w:val="both"/>
        <w:rPr>
          <w:rFonts w:asciiTheme="minorHAnsi" w:eastAsia="Times New Roman" w:hAnsiTheme="minorHAnsi" w:cstheme="minorHAnsi"/>
        </w:rPr>
      </w:pPr>
    </w:p>
    <w:p w14:paraId="5EFB1E82" w14:textId="77777777" w:rsidR="00AB5EDA" w:rsidRPr="00C3453E" w:rsidRDefault="00AB5EDA">
      <w:pPr>
        <w:pBdr>
          <w:top w:val="nil"/>
          <w:left w:val="nil"/>
          <w:bottom w:val="nil"/>
          <w:right w:val="nil"/>
          <w:between w:val="nil"/>
        </w:pBdr>
        <w:spacing w:after="0" w:line="240" w:lineRule="auto"/>
        <w:rPr>
          <w:rFonts w:asciiTheme="minorHAnsi" w:eastAsia="Arial" w:hAnsiTheme="minorHAnsi" w:cstheme="minorHAnsi"/>
          <w:color w:val="000000"/>
          <w:sz w:val="21"/>
          <w:szCs w:val="21"/>
        </w:rPr>
      </w:pP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7290"/>
      </w:tblGrid>
      <w:tr w:rsidR="00AB5EDA" w:rsidRPr="00350E85" w14:paraId="37095851" w14:textId="77777777">
        <w:trPr>
          <w:trHeight w:val="844"/>
        </w:trPr>
        <w:tc>
          <w:tcPr>
            <w:tcW w:w="6658" w:type="dxa"/>
          </w:tcPr>
          <w:p w14:paraId="62CE4002" w14:textId="77777777" w:rsidR="00AB5EDA" w:rsidRPr="00350E85" w:rsidRDefault="0080391E">
            <w:pPr>
              <w:rPr>
                <w:rFonts w:asciiTheme="minorHAnsi" w:hAnsiTheme="minorHAnsi" w:cstheme="minorHAnsi"/>
                <w:b/>
              </w:rPr>
            </w:pPr>
            <w:r>
              <w:rPr>
                <w:rFonts w:asciiTheme="minorHAnsi" w:hAnsiTheme="minorHAnsi" w:cstheme="minorHAnsi"/>
                <w:b/>
              </w:rPr>
              <w:t>Reader</w:t>
            </w:r>
            <w:r w:rsidR="002139BA" w:rsidRPr="00350E85">
              <w:rPr>
                <w:rFonts w:asciiTheme="minorHAnsi" w:hAnsiTheme="minorHAnsi" w:cstheme="minorHAnsi"/>
                <w:b/>
              </w:rPr>
              <w:t xml:space="preserve"> Promotion Criteria</w:t>
            </w:r>
          </w:p>
        </w:tc>
        <w:tc>
          <w:tcPr>
            <w:tcW w:w="7290" w:type="dxa"/>
          </w:tcPr>
          <w:p w14:paraId="1D7A8451" w14:textId="77777777" w:rsidR="00AB5EDA" w:rsidRPr="00350E85" w:rsidRDefault="002139BA">
            <w:pPr>
              <w:rPr>
                <w:rFonts w:asciiTheme="minorHAnsi" w:hAnsiTheme="minorHAnsi" w:cstheme="minorHAnsi"/>
              </w:rPr>
            </w:pPr>
            <w:r w:rsidRPr="00350E85">
              <w:rPr>
                <w:rFonts w:asciiTheme="minorHAnsi" w:hAnsiTheme="minorHAnsi" w:cstheme="minorHAnsi"/>
                <w:b/>
              </w:rPr>
              <w:t>Comments &amp; Feedback</w:t>
            </w:r>
            <w:r w:rsidRPr="00350E85">
              <w:rPr>
                <w:rFonts w:asciiTheme="minorHAnsi" w:hAnsiTheme="minorHAnsi" w:cstheme="minorHAnsi"/>
              </w:rPr>
              <w:t xml:space="preserve"> </w:t>
            </w:r>
          </w:p>
          <w:p w14:paraId="0032C702" w14:textId="6EAE88AF" w:rsidR="00AB5EDA" w:rsidRPr="00350E85" w:rsidRDefault="000A2018">
            <w:pPr>
              <w:rPr>
                <w:rFonts w:asciiTheme="minorHAnsi" w:hAnsiTheme="minorHAnsi" w:cstheme="minorHAnsi"/>
                <w:b/>
              </w:rPr>
            </w:pPr>
            <w:r>
              <w:rPr>
                <w:rFonts w:asciiTheme="minorHAnsi" w:hAnsiTheme="minorHAnsi" w:cstheme="minorHAnsi"/>
              </w:rPr>
              <w:t>Please specify clearly whether the criterion is m</w:t>
            </w:r>
            <w:r w:rsidRPr="00350E85">
              <w:rPr>
                <w:rFonts w:asciiTheme="minorHAnsi" w:hAnsiTheme="minorHAnsi" w:cstheme="minorHAnsi"/>
              </w:rPr>
              <w:t>et/partly met/</w:t>
            </w:r>
            <w:r>
              <w:rPr>
                <w:rFonts w:asciiTheme="minorHAnsi" w:hAnsiTheme="minorHAnsi" w:cstheme="minorHAnsi"/>
              </w:rPr>
              <w:t xml:space="preserve">not </w:t>
            </w:r>
            <w:r w:rsidRPr="00350E85">
              <w:rPr>
                <w:rFonts w:asciiTheme="minorHAnsi" w:hAnsiTheme="minorHAnsi" w:cstheme="minorHAnsi"/>
              </w:rPr>
              <w:t xml:space="preserve">met </w:t>
            </w:r>
            <w:r>
              <w:rPr>
                <w:rFonts w:asciiTheme="minorHAnsi" w:hAnsiTheme="minorHAnsi" w:cstheme="minorHAnsi"/>
              </w:rPr>
              <w:t>and provide 1 or 2 sentence of</w:t>
            </w:r>
            <w:r w:rsidRPr="00350E85">
              <w:rPr>
                <w:rFonts w:asciiTheme="minorHAnsi" w:hAnsiTheme="minorHAnsi" w:cstheme="minorHAnsi"/>
              </w:rPr>
              <w:t xml:space="preserve"> evidence</w:t>
            </w:r>
            <w:r>
              <w:rPr>
                <w:rFonts w:asciiTheme="minorHAnsi" w:hAnsiTheme="minorHAnsi" w:cstheme="minorHAnsi"/>
              </w:rPr>
              <w:t xml:space="preserve"> and / or </w:t>
            </w:r>
            <w:r w:rsidRPr="00350E85">
              <w:rPr>
                <w:rFonts w:asciiTheme="minorHAnsi" w:hAnsiTheme="minorHAnsi" w:cstheme="minorHAnsi"/>
              </w:rPr>
              <w:t>examples</w:t>
            </w:r>
            <w:r>
              <w:rPr>
                <w:rFonts w:asciiTheme="minorHAnsi" w:hAnsiTheme="minorHAnsi" w:cstheme="minorHAnsi"/>
              </w:rPr>
              <w:t>.</w:t>
            </w:r>
          </w:p>
        </w:tc>
      </w:tr>
      <w:tr w:rsidR="00AB5EDA" w:rsidRPr="00350E85" w14:paraId="5B4B0E45" w14:textId="77777777">
        <w:trPr>
          <w:trHeight w:val="844"/>
        </w:trPr>
        <w:tc>
          <w:tcPr>
            <w:tcW w:w="6658" w:type="dxa"/>
          </w:tcPr>
          <w:p w14:paraId="7C8DE4EE" w14:textId="77777777" w:rsidR="00AB5EDA" w:rsidRPr="00350E85" w:rsidRDefault="00856F5C">
            <w:pPr>
              <w:spacing w:before="60" w:after="60"/>
              <w:rPr>
                <w:rFonts w:asciiTheme="minorHAnsi" w:hAnsiTheme="minorHAnsi" w:cstheme="minorHAnsi"/>
              </w:rPr>
            </w:pPr>
            <w:r>
              <w:rPr>
                <w:rFonts w:asciiTheme="minorHAnsi" w:hAnsiTheme="minorHAnsi" w:cstheme="minorHAnsi"/>
              </w:rPr>
              <w:t xml:space="preserve">1. </w:t>
            </w:r>
            <w:r w:rsidR="0080391E" w:rsidRPr="0080391E">
              <w:rPr>
                <w:rFonts w:asciiTheme="minorHAnsi" w:hAnsiTheme="minorHAnsi" w:cstheme="minorHAnsi"/>
              </w:rPr>
              <w:t>Externally-recognised national and an emerging international reputation for research and scholarship, and/or knowledge exchange.</w:t>
            </w:r>
          </w:p>
        </w:tc>
        <w:tc>
          <w:tcPr>
            <w:tcW w:w="7290" w:type="dxa"/>
          </w:tcPr>
          <w:p w14:paraId="6A946DF4" w14:textId="77777777" w:rsidR="00AB5EDA"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36AA8234" w14:textId="77777777">
        <w:trPr>
          <w:trHeight w:val="934"/>
        </w:trPr>
        <w:tc>
          <w:tcPr>
            <w:tcW w:w="6658" w:type="dxa"/>
          </w:tcPr>
          <w:p w14:paraId="696F44BB" w14:textId="77777777" w:rsidR="00AB5EDA" w:rsidRPr="00350E85" w:rsidRDefault="00856F5C">
            <w:pPr>
              <w:spacing w:before="60" w:after="60"/>
              <w:rPr>
                <w:rFonts w:asciiTheme="minorHAnsi" w:hAnsiTheme="minorHAnsi" w:cstheme="minorHAnsi"/>
              </w:rPr>
            </w:pPr>
            <w:r>
              <w:rPr>
                <w:rFonts w:asciiTheme="minorHAnsi" w:hAnsiTheme="minorHAnsi" w:cstheme="minorHAnsi"/>
              </w:rPr>
              <w:t xml:space="preserve">2. </w:t>
            </w:r>
            <w:r w:rsidR="0080391E" w:rsidRPr="0080391E">
              <w:rPr>
                <w:rFonts w:asciiTheme="minorHAnsi" w:hAnsiTheme="minorHAnsi" w:cstheme="minorHAnsi"/>
              </w:rPr>
              <w:t>A body of high-quality peer reviewed publications (or equivalent outputs where the knowledge exchange pathway is prioritised) that demonstrate a substantial contribution to the field or work and/or professional practice.</w:t>
            </w:r>
          </w:p>
        </w:tc>
        <w:tc>
          <w:tcPr>
            <w:tcW w:w="7290" w:type="dxa"/>
          </w:tcPr>
          <w:p w14:paraId="6CACA7B3" w14:textId="77777777" w:rsidR="00AB5EDA"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178D6580" w14:textId="77777777">
        <w:trPr>
          <w:trHeight w:val="844"/>
        </w:trPr>
        <w:tc>
          <w:tcPr>
            <w:tcW w:w="6658" w:type="dxa"/>
          </w:tcPr>
          <w:p w14:paraId="4651C840" w14:textId="77777777" w:rsidR="00AB5EDA" w:rsidRPr="00350E85" w:rsidRDefault="00856F5C">
            <w:pPr>
              <w:spacing w:before="60" w:after="60"/>
              <w:rPr>
                <w:rFonts w:asciiTheme="minorHAnsi" w:hAnsiTheme="minorHAnsi" w:cstheme="minorHAnsi"/>
              </w:rPr>
            </w:pPr>
            <w:r>
              <w:rPr>
                <w:rFonts w:asciiTheme="minorHAnsi" w:hAnsiTheme="minorHAnsi" w:cstheme="minorHAnsi"/>
              </w:rPr>
              <w:t xml:space="preserve">3. </w:t>
            </w:r>
            <w:r w:rsidR="0080391E" w:rsidRPr="0080391E">
              <w:rPr>
                <w:rFonts w:asciiTheme="minorHAnsi" w:hAnsiTheme="minorHAnsi" w:cstheme="minorHAnsi"/>
              </w:rPr>
              <w:t>Developing recognition for impact in terms of reach and significance beyond the University.</w:t>
            </w:r>
          </w:p>
        </w:tc>
        <w:tc>
          <w:tcPr>
            <w:tcW w:w="7290" w:type="dxa"/>
          </w:tcPr>
          <w:p w14:paraId="4A7C2467" w14:textId="77777777" w:rsidR="00AB5EDA"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1CFC1432" w14:textId="77777777">
        <w:trPr>
          <w:trHeight w:val="844"/>
        </w:trPr>
        <w:tc>
          <w:tcPr>
            <w:tcW w:w="6658" w:type="dxa"/>
          </w:tcPr>
          <w:p w14:paraId="267BB06D" w14:textId="77777777" w:rsidR="00AB5EDA" w:rsidRPr="00350E85" w:rsidRDefault="00856F5C">
            <w:pPr>
              <w:spacing w:before="60" w:after="60"/>
              <w:rPr>
                <w:rFonts w:asciiTheme="minorHAnsi" w:hAnsiTheme="minorHAnsi" w:cstheme="minorHAnsi"/>
              </w:rPr>
            </w:pPr>
            <w:r>
              <w:rPr>
                <w:rFonts w:asciiTheme="minorHAnsi" w:hAnsiTheme="minorHAnsi" w:cstheme="minorHAnsi"/>
              </w:rPr>
              <w:t xml:space="preserve">4. </w:t>
            </w:r>
            <w:r w:rsidR="0080391E" w:rsidRPr="0080391E">
              <w:rPr>
                <w:rFonts w:asciiTheme="minorHAnsi" w:hAnsiTheme="minorHAnsi" w:cstheme="minorHAnsi"/>
              </w:rPr>
              <w:t>A clear and sustainable programme of research and/or knowledge exchange work for the next three to five years.</w:t>
            </w:r>
          </w:p>
        </w:tc>
        <w:tc>
          <w:tcPr>
            <w:tcW w:w="7290" w:type="dxa"/>
          </w:tcPr>
          <w:p w14:paraId="722BFFAA" w14:textId="77777777" w:rsidR="00AB5EDA"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1F282877" w14:textId="77777777">
        <w:trPr>
          <w:trHeight w:val="844"/>
        </w:trPr>
        <w:tc>
          <w:tcPr>
            <w:tcW w:w="6658" w:type="dxa"/>
          </w:tcPr>
          <w:p w14:paraId="0D9F8A53" w14:textId="77777777" w:rsidR="00AB5EDA" w:rsidRPr="00350E85" w:rsidRDefault="00856F5C">
            <w:pPr>
              <w:spacing w:before="60" w:after="60"/>
              <w:rPr>
                <w:rFonts w:asciiTheme="minorHAnsi" w:hAnsiTheme="minorHAnsi" w:cstheme="minorHAnsi"/>
              </w:rPr>
            </w:pPr>
            <w:r>
              <w:rPr>
                <w:rFonts w:asciiTheme="minorHAnsi" w:hAnsiTheme="minorHAnsi" w:cstheme="minorHAnsi"/>
              </w:rPr>
              <w:t xml:space="preserve">5. </w:t>
            </w:r>
            <w:r w:rsidR="0080391E" w:rsidRPr="0080391E">
              <w:rPr>
                <w:rFonts w:asciiTheme="minorHAnsi" w:hAnsiTheme="minorHAnsi" w:cstheme="minorHAnsi"/>
              </w:rPr>
              <w:t>A successful record of securing significant peer-reviewed research funding and/or funding support for outputs leading to knowledge exchange.</w:t>
            </w:r>
          </w:p>
        </w:tc>
        <w:tc>
          <w:tcPr>
            <w:tcW w:w="7290" w:type="dxa"/>
          </w:tcPr>
          <w:p w14:paraId="3C8A428E" w14:textId="77777777" w:rsidR="00AB5EDA"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3C187003" w14:textId="77777777">
        <w:trPr>
          <w:trHeight w:val="844"/>
        </w:trPr>
        <w:tc>
          <w:tcPr>
            <w:tcW w:w="6658" w:type="dxa"/>
          </w:tcPr>
          <w:p w14:paraId="62A51FC4" w14:textId="77777777" w:rsidR="00AB5EDA" w:rsidRPr="00350E85" w:rsidRDefault="00856F5C">
            <w:pPr>
              <w:spacing w:before="60" w:after="60"/>
              <w:rPr>
                <w:rFonts w:asciiTheme="minorHAnsi" w:hAnsiTheme="minorHAnsi" w:cstheme="minorHAnsi"/>
              </w:rPr>
            </w:pPr>
            <w:r>
              <w:rPr>
                <w:rFonts w:asciiTheme="minorHAnsi" w:hAnsiTheme="minorHAnsi" w:cstheme="minorHAnsi"/>
              </w:rPr>
              <w:t xml:space="preserve">6. </w:t>
            </w:r>
            <w:r w:rsidR="0080391E" w:rsidRPr="0080391E">
              <w:rPr>
                <w:rFonts w:asciiTheme="minorHAnsi" w:hAnsiTheme="minorHAnsi" w:cstheme="minorHAnsi"/>
              </w:rPr>
              <w:t>A record of good teaching at undergraduate and postgraduate level.</w:t>
            </w:r>
          </w:p>
        </w:tc>
        <w:tc>
          <w:tcPr>
            <w:tcW w:w="7290" w:type="dxa"/>
          </w:tcPr>
          <w:p w14:paraId="73C0876E" w14:textId="77777777" w:rsidR="00AB5EDA"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6D4EB48B" w14:textId="77777777">
        <w:trPr>
          <w:trHeight w:val="844"/>
        </w:trPr>
        <w:tc>
          <w:tcPr>
            <w:tcW w:w="6658" w:type="dxa"/>
          </w:tcPr>
          <w:p w14:paraId="108DF00B" w14:textId="77777777" w:rsidR="00AB5EDA" w:rsidRPr="00350E85" w:rsidRDefault="00856F5C">
            <w:pPr>
              <w:spacing w:before="60" w:after="60"/>
              <w:rPr>
                <w:rFonts w:asciiTheme="minorHAnsi" w:hAnsiTheme="minorHAnsi" w:cstheme="minorHAnsi"/>
              </w:rPr>
            </w:pPr>
            <w:r>
              <w:rPr>
                <w:rFonts w:asciiTheme="minorHAnsi" w:hAnsiTheme="minorHAnsi" w:cstheme="minorHAnsi"/>
              </w:rPr>
              <w:lastRenderedPageBreak/>
              <w:t xml:space="preserve">7. </w:t>
            </w:r>
            <w:r w:rsidR="0080391E" w:rsidRPr="0080391E">
              <w:rPr>
                <w:rFonts w:asciiTheme="minorHAnsi" w:hAnsiTheme="minorHAnsi" w:cstheme="minorHAnsi"/>
              </w:rPr>
              <w:t>A record of supervising PhD students through to successful completion.</w:t>
            </w:r>
          </w:p>
        </w:tc>
        <w:tc>
          <w:tcPr>
            <w:tcW w:w="7290" w:type="dxa"/>
          </w:tcPr>
          <w:p w14:paraId="303E9E61" w14:textId="77777777" w:rsidR="00AB5EDA"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80391E" w:rsidRPr="00350E85" w14:paraId="299CF182" w14:textId="77777777">
        <w:trPr>
          <w:trHeight w:val="844"/>
        </w:trPr>
        <w:tc>
          <w:tcPr>
            <w:tcW w:w="6658" w:type="dxa"/>
          </w:tcPr>
          <w:p w14:paraId="7F71395F" w14:textId="77777777" w:rsidR="0080391E" w:rsidRPr="0080391E" w:rsidRDefault="00856F5C">
            <w:pPr>
              <w:spacing w:before="60" w:after="60"/>
              <w:rPr>
                <w:rFonts w:asciiTheme="minorHAnsi" w:hAnsiTheme="minorHAnsi" w:cstheme="minorHAnsi"/>
              </w:rPr>
            </w:pPr>
            <w:r>
              <w:rPr>
                <w:rFonts w:asciiTheme="minorHAnsi" w:hAnsiTheme="minorHAnsi" w:cstheme="minorHAnsi"/>
              </w:rPr>
              <w:t xml:space="preserve">8. </w:t>
            </w:r>
            <w:r w:rsidR="0080391E" w:rsidRPr="0080391E">
              <w:rPr>
                <w:rFonts w:asciiTheme="minorHAnsi" w:hAnsiTheme="minorHAnsi" w:cstheme="minorHAnsi"/>
              </w:rPr>
              <w:t>Contributions to innovations in teaching and learning.</w:t>
            </w:r>
          </w:p>
        </w:tc>
        <w:tc>
          <w:tcPr>
            <w:tcW w:w="7290" w:type="dxa"/>
          </w:tcPr>
          <w:p w14:paraId="35B2DB89" w14:textId="77777777" w:rsidR="0080391E"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80391E" w:rsidRPr="00350E85" w14:paraId="0A5F9115" w14:textId="77777777">
        <w:trPr>
          <w:trHeight w:val="844"/>
        </w:trPr>
        <w:tc>
          <w:tcPr>
            <w:tcW w:w="6658" w:type="dxa"/>
          </w:tcPr>
          <w:p w14:paraId="04E9E0CC" w14:textId="77777777" w:rsidR="0080391E" w:rsidRPr="0080391E" w:rsidRDefault="00856F5C">
            <w:pPr>
              <w:spacing w:before="60" w:after="60"/>
              <w:rPr>
                <w:rFonts w:asciiTheme="minorHAnsi" w:hAnsiTheme="minorHAnsi" w:cstheme="minorHAnsi"/>
              </w:rPr>
            </w:pPr>
            <w:r>
              <w:rPr>
                <w:rFonts w:asciiTheme="minorHAnsi" w:hAnsiTheme="minorHAnsi" w:cstheme="minorHAnsi"/>
              </w:rPr>
              <w:t xml:space="preserve">9. </w:t>
            </w:r>
            <w:r w:rsidR="0080391E" w:rsidRPr="0080391E">
              <w:rPr>
                <w:rFonts w:asciiTheme="minorHAnsi" w:hAnsiTheme="minorHAnsi" w:cstheme="minorHAnsi"/>
              </w:rPr>
              <w:t>Mentoring less experienced staff.</w:t>
            </w:r>
          </w:p>
        </w:tc>
        <w:tc>
          <w:tcPr>
            <w:tcW w:w="7290" w:type="dxa"/>
          </w:tcPr>
          <w:p w14:paraId="1B619A0C" w14:textId="77777777" w:rsidR="0080391E"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80391E" w:rsidRPr="00350E85" w14:paraId="55AA4955" w14:textId="77777777">
        <w:trPr>
          <w:trHeight w:val="844"/>
        </w:trPr>
        <w:tc>
          <w:tcPr>
            <w:tcW w:w="6658" w:type="dxa"/>
          </w:tcPr>
          <w:p w14:paraId="0F4D9A7D" w14:textId="77777777" w:rsidR="0080391E" w:rsidRPr="0080391E" w:rsidRDefault="00856F5C">
            <w:pPr>
              <w:spacing w:before="60" w:after="60"/>
              <w:rPr>
                <w:rFonts w:asciiTheme="minorHAnsi" w:hAnsiTheme="minorHAnsi" w:cstheme="minorHAnsi"/>
              </w:rPr>
            </w:pPr>
            <w:r>
              <w:rPr>
                <w:rFonts w:asciiTheme="minorHAnsi" w:hAnsiTheme="minorHAnsi" w:cstheme="minorHAnsi"/>
              </w:rPr>
              <w:t xml:space="preserve">10. </w:t>
            </w:r>
            <w:r w:rsidR="0080391E" w:rsidRPr="0080391E">
              <w:rPr>
                <w:rFonts w:asciiTheme="minorHAnsi" w:hAnsiTheme="minorHAnsi" w:cstheme="minorHAnsi"/>
              </w:rPr>
              <w:t>Evidence of contributions to faculty or department functions, e.g. chairing examination committees, subject coordination, postgraduate tutor, or co-ordinating materials for internal and external reviews.</w:t>
            </w:r>
          </w:p>
        </w:tc>
        <w:tc>
          <w:tcPr>
            <w:tcW w:w="7290" w:type="dxa"/>
          </w:tcPr>
          <w:p w14:paraId="2F2C684E" w14:textId="77777777" w:rsidR="0080391E" w:rsidRPr="00350E85" w:rsidRDefault="00856F5C">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bl>
    <w:p w14:paraId="00CC2949" w14:textId="77777777" w:rsidR="002139BA" w:rsidRDefault="002139BA" w:rsidP="002139BA">
      <w:pPr>
        <w:spacing w:after="0" w:line="240" w:lineRule="auto"/>
        <w:rPr>
          <w:rFonts w:asciiTheme="minorHAnsi" w:eastAsia="Arial" w:hAnsiTheme="minorHAnsi" w:cstheme="minorHAnsi"/>
        </w:rPr>
      </w:pPr>
      <w:bookmarkStart w:id="2" w:name="_heading=h.gjdgxs" w:colFirst="0" w:colLast="0"/>
      <w:bookmarkEnd w:id="2"/>
    </w:p>
    <w:p w14:paraId="33587C1C" w14:textId="43F2C17F" w:rsidR="00AB5EDA" w:rsidRDefault="002139BA">
      <w:pPr>
        <w:rPr>
          <w:rFonts w:asciiTheme="minorHAnsi" w:eastAsia="Arial" w:hAnsiTheme="minorHAnsi" w:cstheme="minorHAnsi"/>
        </w:rPr>
      </w:pPr>
      <w:r w:rsidRPr="00350E85">
        <w:rPr>
          <w:rFonts w:asciiTheme="minorHAnsi" w:eastAsia="Arial" w:hAnsiTheme="minorHAnsi" w:cstheme="minorHAnsi"/>
        </w:rPr>
        <w:t xml:space="preserve">Evidence of the impact of </w:t>
      </w:r>
      <w:r>
        <w:rPr>
          <w:rFonts w:asciiTheme="minorHAnsi" w:eastAsia="Arial" w:hAnsiTheme="minorHAnsi" w:cstheme="minorHAnsi"/>
        </w:rPr>
        <w:t xml:space="preserve">the </w:t>
      </w:r>
      <w:r w:rsidRPr="00350E85">
        <w:rPr>
          <w:rFonts w:asciiTheme="minorHAnsi" w:eastAsia="Arial" w:hAnsiTheme="minorHAnsi" w:cstheme="minorHAnsi"/>
        </w:rPr>
        <w:t>contribution could include</w:t>
      </w:r>
      <w:r w:rsidR="000A2018">
        <w:rPr>
          <w:rFonts w:asciiTheme="minorHAnsi" w:eastAsia="Arial" w:hAnsiTheme="minorHAnsi" w:cstheme="minorHAnsi"/>
        </w:rPr>
        <w:t xml:space="preserve"> (but will typically not cover all of)</w:t>
      </w:r>
      <w:r w:rsidRPr="00350E85">
        <w:rPr>
          <w:rFonts w:asciiTheme="minorHAnsi" w:eastAsia="Arial" w:hAnsiTheme="minorHAnsi" w:cstheme="minorHAnsi"/>
        </w:rPr>
        <w:t>:</w:t>
      </w:r>
    </w:p>
    <w:p w14:paraId="649E068D" w14:textId="77777777" w:rsidR="00856F5C" w:rsidRDefault="00856F5C" w:rsidP="00856F5C">
      <w:pPr>
        <w:pStyle w:val="NormalWeb"/>
        <w:shd w:val="clear" w:color="auto" w:fill="FFFFFF"/>
        <w:spacing w:before="0" w:beforeAutospacing="0" w:after="240" w:afterAutospacing="0"/>
        <w:rPr>
          <w:rFonts w:asciiTheme="minorHAnsi" w:hAnsiTheme="minorHAnsi" w:cstheme="minorHAnsi"/>
          <w:b/>
          <w:sz w:val="22"/>
          <w:szCs w:val="22"/>
        </w:rPr>
      </w:pPr>
      <w:r w:rsidRPr="00856F5C">
        <w:rPr>
          <w:rFonts w:asciiTheme="minorHAnsi" w:hAnsiTheme="minorHAnsi" w:cstheme="minorHAnsi"/>
          <w:b/>
          <w:sz w:val="22"/>
          <w:szCs w:val="22"/>
        </w:rPr>
        <w:t>Research and/or knowledge exchange</w:t>
      </w:r>
      <w:r>
        <w:rPr>
          <w:rFonts w:asciiTheme="minorHAnsi" w:hAnsiTheme="minorHAnsi" w:cstheme="minorHAnsi"/>
          <w:b/>
          <w:sz w:val="22"/>
          <w:szCs w:val="22"/>
        </w:rPr>
        <w:t>:</w:t>
      </w:r>
    </w:p>
    <w:p w14:paraId="1D6E4666" w14:textId="77777777" w:rsidR="00856F5C" w:rsidRDefault="00856F5C" w:rsidP="00856F5C">
      <w:pPr>
        <w:pStyle w:val="NormalWeb"/>
        <w:numPr>
          <w:ilvl w:val="0"/>
          <w:numId w:val="2"/>
        </w:numPr>
        <w:shd w:val="clear" w:color="auto" w:fill="FFFFFF"/>
        <w:tabs>
          <w:tab w:val="clear" w:pos="1080"/>
        </w:tabs>
        <w:spacing w:before="0" w:beforeAutospacing="0" w:after="75" w:afterAutospacing="0"/>
        <w:ind w:left="426" w:hanging="426"/>
        <w:rPr>
          <w:rFonts w:asciiTheme="minorHAnsi" w:hAnsiTheme="minorHAnsi" w:cstheme="minorHAnsi"/>
          <w:sz w:val="22"/>
          <w:szCs w:val="22"/>
        </w:rPr>
      </w:pPr>
      <w:r w:rsidRPr="00856F5C">
        <w:rPr>
          <w:rFonts w:asciiTheme="minorHAnsi" w:hAnsiTheme="minorHAnsi" w:cstheme="minorHAnsi"/>
          <w:sz w:val="22"/>
          <w:szCs w:val="22"/>
        </w:rPr>
        <w:t>A recognised national and emerging international reputation in the peer community, through a sustained programme of research and/or knowledge exchange activity.</w:t>
      </w:r>
    </w:p>
    <w:p w14:paraId="2A8F79E4" w14:textId="77777777" w:rsidR="00856F5C" w:rsidRPr="00856F5C" w:rsidRDefault="00856F5C" w:rsidP="00856F5C">
      <w:pPr>
        <w:pStyle w:val="NormalWeb"/>
        <w:numPr>
          <w:ilvl w:val="0"/>
          <w:numId w:val="2"/>
        </w:numPr>
        <w:shd w:val="clear" w:color="auto" w:fill="FFFFFF"/>
        <w:tabs>
          <w:tab w:val="clear" w:pos="1080"/>
        </w:tabs>
        <w:spacing w:before="0" w:beforeAutospacing="0" w:after="75" w:afterAutospacing="0"/>
        <w:ind w:left="426" w:hanging="426"/>
        <w:rPr>
          <w:rFonts w:asciiTheme="minorHAnsi" w:hAnsiTheme="minorHAnsi" w:cstheme="minorHAnsi"/>
          <w:sz w:val="22"/>
          <w:szCs w:val="22"/>
        </w:rPr>
      </w:pPr>
      <w:r w:rsidRPr="00856F5C">
        <w:rPr>
          <w:rFonts w:asciiTheme="minorHAnsi" w:hAnsiTheme="minorHAnsi" w:cstheme="minorHAnsi"/>
          <w:sz w:val="22"/>
          <w:szCs w:val="22"/>
        </w:rPr>
        <w:t>Leading (or being Oxford Brookes lead on) large interdisciplinary/collaborative national or international peer-reviewed funding bids, which develop and sustain research and/or knowledge exchange support in the area of specialism.</w:t>
      </w:r>
    </w:p>
    <w:p w14:paraId="5D43FA91" w14:textId="77777777" w:rsidR="00856F5C" w:rsidRPr="00856F5C" w:rsidRDefault="00856F5C" w:rsidP="00856F5C">
      <w:pPr>
        <w:numPr>
          <w:ilvl w:val="0"/>
          <w:numId w:val="2"/>
        </w:numPr>
        <w:shd w:val="clear" w:color="auto" w:fill="FFFFFF"/>
        <w:tabs>
          <w:tab w:val="clear" w:pos="1080"/>
        </w:tabs>
        <w:spacing w:after="75" w:line="240" w:lineRule="auto"/>
        <w:ind w:left="426" w:hanging="426"/>
        <w:rPr>
          <w:rFonts w:asciiTheme="minorHAnsi" w:hAnsiTheme="minorHAnsi" w:cstheme="minorHAnsi"/>
        </w:rPr>
      </w:pPr>
      <w:r w:rsidRPr="00856F5C">
        <w:rPr>
          <w:rFonts w:asciiTheme="minorHAnsi" w:hAnsiTheme="minorHAnsi" w:cstheme="minorHAnsi"/>
        </w:rPr>
        <w:t>Initiating and developing collaborations with external bodies such as other educational and research institutions, industry and the commercial sector, NGOs and non-commercial organisations, and professional bodies. </w:t>
      </w:r>
    </w:p>
    <w:p w14:paraId="13F0653E" w14:textId="77777777" w:rsidR="00856F5C" w:rsidRPr="00856F5C" w:rsidRDefault="00856F5C" w:rsidP="00856F5C">
      <w:pPr>
        <w:numPr>
          <w:ilvl w:val="0"/>
          <w:numId w:val="2"/>
        </w:numPr>
        <w:shd w:val="clear" w:color="auto" w:fill="FFFFFF"/>
        <w:tabs>
          <w:tab w:val="clear" w:pos="1080"/>
        </w:tabs>
        <w:spacing w:after="75" w:line="240" w:lineRule="auto"/>
        <w:ind w:left="426" w:hanging="426"/>
        <w:rPr>
          <w:rFonts w:asciiTheme="minorHAnsi" w:hAnsiTheme="minorHAnsi" w:cstheme="minorHAnsi"/>
        </w:rPr>
      </w:pPr>
      <w:r w:rsidRPr="00856F5C">
        <w:rPr>
          <w:rFonts w:asciiTheme="minorHAnsi" w:hAnsiTheme="minorHAnsi" w:cstheme="minorHAnsi"/>
        </w:rPr>
        <w:t>Innovation in linking research, scholarship and knowledge exchange through for example consultancy, contract research, IP-generating and enterprise activities.</w:t>
      </w:r>
    </w:p>
    <w:p w14:paraId="0868C9D4" w14:textId="77777777" w:rsidR="00856F5C" w:rsidRPr="00856F5C" w:rsidRDefault="00856F5C" w:rsidP="00856F5C">
      <w:pPr>
        <w:numPr>
          <w:ilvl w:val="0"/>
          <w:numId w:val="2"/>
        </w:numPr>
        <w:shd w:val="clear" w:color="auto" w:fill="FFFFFF"/>
        <w:tabs>
          <w:tab w:val="clear" w:pos="1080"/>
        </w:tabs>
        <w:spacing w:after="75" w:line="240" w:lineRule="auto"/>
        <w:ind w:left="426" w:hanging="426"/>
        <w:rPr>
          <w:rFonts w:asciiTheme="minorHAnsi" w:hAnsiTheme="minorHAnsi" w:cstheme="minorHAnsi"/>
        </w:rPr>
      </w:pPr>
      <w:r w:rsidRPr="00856F5C">
        <w:rPr>
          <w:rFonts w:asciiTheme="minorHAnsi" w:hAnsiTheme="minorHAnsi" w:cstheme="minorHAnsi"/>
        </w:rPr>
        <w:t>Contributing to the leadership of department research and/or knowledge exchange strategy. </w:t>
      </w:r>
    </w:p>
    <w:p w14:paraId="37137660" w14:textId="77777777" w:rsidR="00856F5C" w:rsidRPr="00856F5C" w:rsidRDefault="00856F5C" w:rsidP="00856F5C">
      <w:pPr>
        <w:numPr>
          <w:ilvl w:val="0"/>
          <w:numId w:val="2"/>
        </w:numPr>
        <w:shd w:val="clear" w:color="auto" w:fill="FFFFFF"/>
        <w:tabs>
          <w:tab w:val="clear" w:pos="1080"/>
        </w:tabs>
        <w:spacing w:after="75" w:line="240" w:lineRule="auto"/>
        <w:ind w:left="426" w:hanging="426"/>
        <w:rPr>
          <w:rFonts w:asciiTheme="minorHAnsi" w:hAnsiTheme="minorHAnsi" w:cstheme="minorHAnsi"/>
        </w:rPr>
      </w:pPr>
      <w:r w:rsidRPr="00856F5C">
        <w:rPr>
          <w:rFonts w:asciiTheme="minorHAnsi" w:hAnsiTheme="minorHAnsi" w:cstheme="minorHAnsi"/>
        </w:rPr>
        <w:t>Publishing research in top quality REF standard peer-reviewed outlets. </w:t>
      </w:r>
    </w:p>
    <w:p w14:paraId="00B108BC" w14:textId="77777777" w:rsidR="00856F5C" w:rsidRPr="00856F5C" w:rsidRDefault="00856F5C" w:rsidP="00856F5C">
      <w:pPr>
        <w:numPr>
          <w:ilvl w:val="0"/>
          <w:numId w:val="2"/>
        </w:numPr>
        <w:shd w:val="clear" w:color="auto" w:fill="FFFFFF"/>
        <w:tabs>
          <w:tab w:val="clear" w:pos="1080"/>
        </w:tabs>
        <w:spacing w:after="75" w:line="240" w:lineRule="auto"/>
        <w:ind w:left="426" w:hanging="426"/>
        <w:rPr>
          <w:rFonts w:asciiTheme="minorHAnsi" w:hAnsiTheme="minorHAnsi" w:cstheme="minorHAnsi"/>
        </w:rPr>
      </w:pPr>
      <w:r w:rsidRPr="00856F5C">
        <w:rPr>
          <w:rFonts w:asciiTheme="minorHAnsi" w:hAnsiTheme="minorHAnsi" w:cstheme="minorHAnsi"/>
        </w:rPr>
        <w:t>Giving invited papers to national and international audiences.</w:t>
      </w:r>
    </w:p>
    <w:p w14:paraId="22A8CF31" w14:textId="77777777" w:rsidR="00856F5C" w:rsidRPr="00856F5C" w:rsidRDefault="00856F5C" w:rsidP="00856F5C">
      <w:pPr>
        <w:numPr>
          <w:ilvl w:val="0"/>
          <w:numId w:val="2"/>
        </w:numPr>
        <w:shd w:val="clear" w:color="auto" w:fill="FFFFFF"/>
        <w:tabs>
          <w:tab w:val="clear" w:pos="1080"/>
        </w:tabs>
        <w:spacing w:after="75" w:line="240" w:lineRule="auto"/>
        <w:ind w:left="426" w:hanging="426"/>
        <w:rPr>
          <w:rFonts w:asciiTheme="minorHAnsi" w:hAnsiTheme="minorHAnsi" w:cstheme="minorHAnsi"/>
        </w:rPr>
      </w:pPr>
      <w:r w:rsidRPr="00856F5C">
        <w:rPr>
          <w:rFonts w:asciiTheme="minorHAnsi" w:hAnsiTheme="minorHAnsi" w:cstheme="minorHAnsi"/>
        </w:rPr>
        <w:t>Membership of editorial boards of leading journals and other disciplinary bodies. </w:t>
      </w:r>
    </w:p>
    <w:p w14:paraId="41215BCD" w14:textId="77777777" w:rsidR="00856F5C" w:rsidRPr="00856F5C" w:rsidRDefault="00856F5C" w:rsidP="00856F5C">
      <w:pPr>
        <w:numPr>
          <w:ilvl w:val="0"/>
          <w:numId w:val="2"/>
        </w:numPr>
        <w:shd w:val="clear" w:color="auto" w:fill="FFFFFF"/>
        <w:tabs>
          <w:tab w:val="clear" w:pos="1080"/>
        </w:tabs>
        <w:spacing w:after="75" w:line="240" w:lineRule="auto"/>
        <w:ind w:left="426" w:hanging="426"/>
        <w:rPr>
          <w:rFonts w:asciiTheme="minorHAnsi" w:hAnsiTheme="minorHAnsi" w:cstheme="minorHAnsi"/>
        </w:rPr>
      </w:pPr>
      <w:r w:rsidRPr="00856F5C">
        <w:rPr>
          <w:rFonts w:asciiTheme="minorHAnsi" w:hAnsiTheme="minorHAnsi" w:cstheme="minorHAnsi"/>
        </w:rPr>
        <w:t>Providing expert opinion and commentary to external audiences and bodies.</w:t>
      </w:r>
    </w:p>
    <w:p w14:paraId="37CB9403" w14:textId="77777777" w:rsidR="00856F5C" w:rsidRPr="00856F5C" w:rsidRDefault="00856F5C" w:rsidP="00856F5C">
      <w:pPr>
        <w:pStyle w:val="Heading3"/>
        <w:shd w:val="clear" w:color="auto" w:fill="FFFFFF"/>
        <w:spacing w:before="320"/>
        <w:rPr>
          <w:rFonts w:asciiTheme="minorHAnsi" w:hAnsiTheme="minorHAnsi" w:cstheme="minorHAnsi"/>
          <w:sz w:val="22"/>
          <w:szCs w:val="22"/>
        </w:rPr>
      </w:pPr>
      <w:r w:rsidRPr="00856F5C">
        <w:rPr>
          <w:rFonts w:asciiTheme="minorHAnsi" w:hAnsiTheme="minorHAnsi" w:cstheme="minorHAnsi"/>
          <w:sz w:val="22"/>
          <w:szCs w:val="22"/>
        </w:rPr>
        <w:lastRenderedPageBreak/>
        <w:t>Teaching</w:t>
      </w:r>
      <w:r>
        <w:rPr>
          <w:rFonts w:asciiTheme="minorHAnsi" w:hAnsiTheme="minorHAnsi" w:cstheme="minorHAnsi"/>
          <w:sz w:val="22"/>
          <w:szCs w:val="22"/>
        </w:rPr>
        <w:t>:</w:t>
      </w:r>
    </w:p>
    <w:p w14:paraId="17FA12A8" w14:textId="77777777" w:rsidR="00856F5C" w:rsidRPr="00856F5C" w:rsidRDefault="00856F5C" w:rsidP="00856F5C">
      <w:pPr>
        <w:numPr>
          <w:ilvl w:val="0"/>
          <w:numId w:val="3"/>
        </w:numPr>
        <w:shd w:val="clear" w:color="auto" w:fill="FFFFFF"/>
        <w:tabs>
          <w:tab w:val="clear" w:pos="720"/>
          <w:tab w:val="num" w:pos="426"/>
        </w:tabs>
        <w:spacing w:after="75" w:line="240" w:lineRule="auto"/>
        <w:ind w:left="0" w:firstLine="0"/>
        <w:rPr>
          <w:rFonts w:asciiTheme="minorHAnsi" w:hAnsiTheme="minorHAnsi" w:cstheme="minorHAnsi"/>
        </w:rPr>
      </w:pPr>
      <w:r w:rsidRPr="00856F5C">
        <w:rPr>
          <w:rFonts w:asciiTheme="minorHAnsi" w:hAnsiTheme="minorHAnsi" w:cstheme="minorHAnsi"/>
        </w:rPr>
        <w:t>Teaching and examining undergraduate and masters level students.</w:t>
      </w:r>
    </w:p>
    <w:p w14:paraId="6FAA6928" w14:textId="77777777" w:rsidR="00856F5C" w:rsidRPr="00856F5C" w:rsidRDefault="00856F5C" w:rsidP="00856F5C">
      <w:pPr>
        <w:numPr>
          <w:ilvl w:val="0"/>
          <w:numId w:val="3"/>
        </w:numPr>
        <w:shd w:val="clear" w:color="auto" w:fill="FFFFFF"/>
        <w:tabs>
          <w:tab w:val="clear" w:pos="720"/>
          <w:tab w:val="num" w:pos="426"/>
        </w:tabs>
        <w:spacing w:after="75" w:line="240" w:lineRule="auto"/>
        <w:ind w:left="0" w:firstLine="0"/>
        <w:rPr>
          <w:rFonts w:asciiTheme="minorHAnsi" w:hAnsiTheme="minorHAnsi" w:cstheme="minorHAnsi"/>
        </w:rPr>
      </w:pPr>
      <w:r w:rsidRPr="00856F5C">
        <w:rPr>
          <w:rFonts w:asciiTheme="minorHAnsi" w:hAnsiTheme="minorHAnsi" w:cstheme="minorHAnsi"/>
        </w:rPr>
        <w:t>Acting as an academic adviser and promoting the enhancement of the student experience.</w:t>
      </w:r>
    </w:p>
    <w:p w14:paraId="77911139" w14:textId="77777777" w:rsidR="00856F5C" w:rsidRPr="00856F5C" w:rsidRDefault="00856F5C" w:rsidP="00856F5C">
      <w:pPr>
        <w:numPr>
          <w:ilvl w:val="0"/>
          <w:numId w:val="3"/>
        </w:numPr>
        <w:shd w:val="clear" w:color="auto" w:fill="FFFFFF"/>
        <w:tabs>
          <w:tab w:val="clear" w:pos="720"/>
          <w:tab w:val="num" w:pos="426"/>
        </w:tabs>
        <w:spacing w:after="75" w:line="240" w:lineRule="auto"/>
        <w:ind w:left="0" w:firstLine="0"/>
        <w:rPr>
          <w:rFonts w:asciiTheme="minorHAnsi" w:hAnsiTheme="minorHAnsi" w:cstheme="minorHAnsi"/>
        </w:rPr>
      </w:pPr>
      <w:r w:rsidRPr="00856F5C">
        <w:rPr>
          <w:rFonts w:asciiTheme="minorHAnsi" w:hAnsiTheme="minorHAnsi" w:cstheme="minorHAnsi"/>
        </w:rPr>
        <w:t>Supervising to successful completion and examining PhD students. </w:t>
      </w:r>
    </w:p>
    <w:p w14:paraId="134EB4EA" w14:textId="77777777" w:rsidR="00856F5C" w:rsidRPr="00856F5C" w:rsidRDefault="00856F5C" w:rsidP="00856F5C">
      <w:pPr>
        <w:numPr>
          <w:ilvl w:val="0"/>
          <w:numId w:val="3"/>
        </w:numPr>
        <w:shd w:val="clear" w:color="auto" w:fill="FFFFFF"/>
        <w:tabs>
          <w:tab w:val="clear" w:pos="720"/>
          <w:tab w:val="num" w:pos="426"/>
        </w:tabs>
        <w:spacing w:after="75" w:line="240" w:lineRule="auto"/>
        <w:ind w:left="0" w:firstLine="0"/>
        <w:rPr>
          <w:rFonts w:asciiTheme="minorHAnsi" w:hAnsiTheme="minorHAnsi" w:cstheme="minorHAnsi"/>
        </w:rPr>
      </w:pPr>
      <w:r w:rsidRPr="00856F5C">
        <w:rPr>
          <w:rFonts w:asciiTheme="minorHAnsi" w:hAnsiTheme="minorHAnsi" w:cstheme="minorHAnsi"/>
        </w:rPr>
        <w:t>Contributing to the monitoring and enhancement of quality in teaching within the department. </w:t>
      </w:r>
    </w:p>
    <w:p w14:paraId="4D7F3C90" w14:textId="77777777" w:rsidR="00856F5C" w:rsidRPr="00856F5C" w:rsidRDefault="00856F5C" w:rsidP="00856F5C">
      <w:pPr>
        <w:numPr>
          <w:ilvl w:val="0"/>
          <w:numId w:val="3"/>
        </w:numPr>
        <w:shd w:val="clear" w:color="auto" w:fill="FFFFFF"/>
        <w:tabs>
          <w:tab w:val="clear" w:pos="720"/>
          <w:tab w:val="num" w:pos="426"/>
        </w:tabs>
        <w:spacing w:after="75" w:line="240" w:lineRule="auto"/>
        <w:ind w:left="0" w:firstLine="0"/>
        <w:rPr>
          <w:rFonts w:asciiTheme="minorHAnsi" w:hAnsiTheme="minorHAnsi" w:cstheme="minorHAnsi"/>
        </w:rPr>
      </w:pPr>
      <w:r w:rsidRPr="00856F5C">
        <w:rPr>
          <w:rFonts w:asciiTheme="minorHAnsi" w:hAnsiTheme="minorHAnsi" w:cstheme="minorHAnsi"/>
        </w:rPr>
        <w:t>Developing programme and course proposals, shaping and influencing curriculum development and innovations in teaching practice. </w:t>
      </w:r>
    </w:p>
    <w:p w14:paraId="25434C10" w14:textId="77777777" w:rsidR="00856F5C" w:rsidRPr="00856F5C" w:rsidRDefault="00856F5C" w:rsidP="00856F5C">
      <w:pPr>
        <w:numPr>
          <w:ilvl w:val="0"/>
          <w:numId w:val="3"/>
        </w:numPr>
        <w:shd w:val="clear" w:color="auto" w:fill="FFFFFF"/>
        <w:tabs>
          <w:tab w:val="clear" w:pos="720"/>
          <w:tab w:val="num" w:pos="426"/>
        </w:tabs>
        <w:spacing w:after="75" w:line="240" w:lineRule="auto"/>
        <w:ind w:left="0" w:firstLine="0"/>
        <w:rPr>
          <w:rFonts w:asciiTheme="minorHAnsi" w:hAnsiTheme="minorHAnsi" w:cstheme="minorHAnsi"/>
        </w:rPr>
      </w:pPr>
      <w:r w:rsidRPr="00856F5C">
        <w:rPr>
          <w:rFonts w:asciiTheme="minorHAnsi" w:hAnsiTheme="minorHAnsi" w:cstheme="minorHAnsi"/>
        </w:rPr>
        <w:t>Acting as a role model in research, knowledge exchange and teaching through excellent practice and strong collegial commitment. </w:t>
      </w:r>
    </w:p>
    <w:p w14:paraId="21C9BCEF" w14:textId="77777777" w:rsidR="00856F5C" w:rsidRPr="00856F5C" w:rsidRDefault="00856F5C" w:rsidP="00856F5C">
      <w:pPr>
        <w:numPr>
          <w:ilvl w:val="0"/>
          <w:numId w:val="3"/>
        </w:numPr>
        <w:shd w:val="clear" w:color="auto" w:fill="FFFFFF"/>
        <w:tabs>
          <w:tab w:val="clear" w:pos="720"/>
          <w:tab w:val="num" w:pos="426"/>
        </w:tabs>
        <w:spacing w:after="75" w:line="240" w:lineRule="auto"/>
        <w:ind w:left="0" w:firstLine="0"/>
        <w:rPr>
          <w:rFonts w:asciiTheme="minorHAnsi" w:hAnsiTheme="minorHAnsi" w:cstheme="minorHAnsi"/>
        </w:rPr>
      </w:pPr>
      <w:r w:rsidRPr="00856F5C">
        <w:rPr>
          <w:rFonts w:asciiTheme="minorHAnsi" w:hAnsiTheme="minorHAnsi" w:cstheme="minorHAnsi"/>
        </w:rPr>
        <w:t>Mentoring less experienced staff. </w:t>
      </w:r>
    </w:p>
    <w:p w14:paraId="5361DC5D" w14:textId="77777777" w:rsidR="00856F5C" w:rsidRPr="00856F5C" w:rsidRDefault="00856F5C" w:rsidP="00856F5C">
      <w:pPr>
        <w:numPr>
          <w:ilvl w:val="0"/>
          <w:numId w:val="3"/>
        </w:numPr>
        <w:shd w:val="clear" w:color="auto" w:fill="FFFFFF"/>
        <w:tabs>
          <w:tab w:val="clear" w:pos="720"/>
          <w:tab w:val="num" w:pos="426"/>
        </w:tabs>
        <w:spacing w:after="75" w:line="240" w:lineRule="auto"/>
        <w:ind w:left="0" w:firstLine="0"/>
        <w:rPr>
          <w:rFonts w:asciiTheme="minorHAnsi" w:hAnsiTheme="minorHAnsi" w:cstheme="minorHAnsi"/>
        </w:rPr>
      </w:pPr>
      <w:r w:rsidRPr="00856F5C">
        <w:rPr>
          <w:rFonts w:asciiTheme="minorHAnsi" w:hAnsiTheme="minorHAnsi" w:cstheme="minorHAnsi"/>
        </w:rPr>
        <w:t>Contributing to the development of teams and individuals and providing advice on career development.</w:t>
      </w:r>
    </w:p>
    <w:p w14:paraId="6C4FB6D2" w14:textId="77777777" w:rsidR="00856F5C" w:rsidRDefault="00856F5C" w:rsidP="00856F5C">
      <w:pPr>
        <w:pStyle w:val="NormalWeb"/>
        <w:shd w:val="clear" w:color="auto" w:fill="FFFFFF"/>
        <w:spacing w:before="0" w:beforeAutospacing="0" w:after="240" w:afterAutospacing="0"/>
        <w:rPr>
          <w:rFonts w:asciiTheme="minorHAnsi" w:hAnsiTheme="minorHAnsi" w:cstheme="minorHAnsi"/>
          <w:sz w:val="22"/>
          <w:szCs w:val="22"/>
        </w:rPr>
      </w:pPr>
    </w:p>
    <w:p w14:paraId="49258ABA" w14:textId="77777777" w:rsidR="00856F5C" w:rsidRPr="00856F5C" w:rsidRDefault="00856F5C" w:rsidP="00856F5C">
      <w:pPr>
        <w:pStyle w:val="NormalWeb"/>
        <w:shd w:val="clear" w:color="auto" w:fill="FFFFFF"/>
        <w:spacing w:before="0" w:beforeAutospacing="0" w:after="240" w:afterAutospacing="0"/>
        <w:rPr>
          <w:rFonts w:asciiTheme="minorHAnsi" w:hAnsiTheme="minorHAnsi" w:cstheme="minorHAnsi"/>
          <w:b/>
          <w:sz w:val="22"/>
          <w:szCs w:val="22"/>
        </w:rPr>
      </w:pPr>
      <w:r w:rsidRPr="00856F5C">
        <w:rPr>
          <w:rFonts w:asciiTheme="minorHAnsi" w:hAnsiTheme="minorHAnsi" w:cstheme="minorHAnsi"/>
          <w:b/>
          <w:sz w:val="22"/>
          <w:szCs w:val="22"/>
        </w:rPr>
        <w:t>Activities relating to departmental/faculty management and administration</w:t>
      </w:r>
      <w:r>
        <w:rPr>
          <w:rFonts w:asciiTheme="minorHAnsi" w:hAnsiTheme="minorHAnsi" w:cstheme="minorHAnsi"/>
          <w:b/>
          <w:sz w:val="22"/>
          <w:szCs w:val="22"/>
        </w:rPr>
        <w:t>:</w:t>
      </w:r>
    </w:p>
    <w:p w14:paraId="4047E5E6" w14:textId="77777777" w:rsidR="00856F5C" w:rsidRPr="00856F5C" w:rsidRDefault="00856F5C" w:rsidP="00856F5C">
      <w:pPr>
        <w:pStyle w:val="NormalWeb"/>
        <w:numPr>
          <w:ilvl w:val="0"/>
          <w:numId w:val="4"/>
        </w:numPr>
        <w:shd w:val="clear" w:color="auto" w:fill="FFFFFF"/>
        <w:tabs>
          <w:tab w:val="clear" w:pos="720"/>
          <w:tab w:val="num" w:pos="426"/>
        </w:tabs>
        <w:spacing w:before="0" w:beforeAutospacing="0" w:after="240" w:afterAutospacing="0"/>
        <w:ind w:left="0" w:firstLine="0"/>
        <w:rPr>
          <w:rFonts w:asciiTheme="minorHAnsi" w:hAnsiTheme="minorHAnsi" w:cstheme="minorHAnsi"/>
          <w:sz w:val="22"/>
          <w:szCs w:val="22"/>
        </w:rPr>
      </w:pPr>
      <w:r w:rsidRPr="00856F5C">
        <w:rPr>
          <w:rFonts w:asciiTheme="minorHAnsi" w:hAnsiTheme="minorHAnsi" w:cstheme="minorHAnsi"/>
          <w:sz w:val="22"/>
          <w:szCs w:val="22"/>
        </w:rPr>
        <w:t>Contributing to the overall management of the department and contributing to departmental-level strategic planning.</w:t>
      </w:r>
    </w:p>
    <w:p w14:paraId="214B8AB7" w14:textId="77777777" w:rsidR="00856F5C" w:rsidRPr="00856F5C" w:rsidRDefault="00856F5C">
      <w:pPr>
        <w:rPr>
          <w:rFonts w:asciiTheme="minorHAnsi" w:eastAsia="Arial" w:hAnsiTheme="minorHAnsi" w:cstheme="minorHAnsi"/>
        </w:rPr>
      </w:pPr>
    </w:p>
    <w:p w14:paraId="6A154001" w14:textId="77777777" w:rsidR="00350E85" w:rsidRDefault="00C3453E" w:rsidP="00C3453E">
      <w:pPr>
        <w:spacing w:line="240" w:lineRule="auto"/>
        <w:jc w:val="both"/>
        <w:rPr>
          <w:rFonts w:asciiTheme="minorHAnsi" w:eastAsia="Times New Roman" w:hAnsiTheme="minorHAnsi" w:cstheme="minorHAnsi"/>
          <w:b/>
          <w:bCs/>
          <w:color w:val="000000"/>
        </w:rPr>
      </w:pPr>
      <w:r w:rsidRPr="00350E85">
        <w:rPr>
          <w:rFonts w:asciiTheme="minorHAnsi" w:eastAsia="Times New Roman" w:hAnsiTheme="minorHAnsi" w:cstheme="minorHAnsi"/>
          <w:b/>
          <w:bCs/>
          <w:color w:val="000000"/>
        </w:rPr>
        <w:t>COMPLETED ON BEHALF OF FACULTY BY</w:t>
      </w:r>
      <w:r w:rsidR="00350E85">
        <w:rPr>
          <w:rFonts w:asciiTheme="minorHAnsi" w:eastAsia="Times New Roman" w:hAnsiTheme="minorHAnsi" w:cstheme="minorHAnsi"/>
          <w:b/>
          <w:bCs/>
          <w:color w:val="000000"/>
        </w:rPr>
        <w:t>:</w:t>
      </w:r>
    </w:p>
    <w:p w14:paraId="4C45690A" w14:textId="77777777" w:rsidR="00350E85" w:rsidRPr="00350E85" w:rsidRDefault="00350E85" w:rsidP="00350E85">
      <w:pPr>
        <w:rPr>
          <w:rFonts w:asciiTheme="minorHAnsi" w:hAnsiTheme="minorHAnsi" w:cstheme="minorHAnsi"/>
          <w:b/>
        </w:rPr>
      </w:pPr>
      <w:r w:rsidRPr="00350E85">
        <w:rPr>
          <w:rFonts w:asciiTheme="minorHAnsi" w:hAnsiTheme="minorHAnsi" w:cstheme="minorHAnsi"/>
          <w:b/>
        </w:rPr>
        <w:t>SIGNED:</w:t>
      </w:r>
    </w:p>
    <w:p w14:paraId="1DDB7615" w14:textId="77777777" w:rsidR="00350E85" w:rsidRPr="00350E85" w:rsidRDefault="00350E85" w:rsidP="00350E85">
      <w:pPr>
        <w:rPr>
          <w:rFonts w:asciiTheme="minorHAnsi" w:hAnsiTheme="minorHAnsi" w:cstheme="minorHAnsi"/>
          <w:b/>
        </w:rPr>
      </w:pPr>
      <w:r w:rsidRPr="00350E85">
        <w:rPr>
          <w:rFonts w:asciiTheme="minorHAnsi" w:hAnsiTheme="minorHAnsi" w:cstheme="minorHAnsi"/>
          <w:b/>
        </w:rPr>
        <w:t xml:space="preserve">DATE: </w:t>
      </w:r>
    </w:p>
    <w:p w14:paraId="0BA09777" w14:textId="77777777" w:rsidR="000A2018" w:rsidRDefault="000A2018" w:rsidP="000A2018">
      <w:pPr>
        <w:spacing w:line="240" w:lineRule="auto"/>
        <w:jc w:val="both"/>
        <w:rPr>
          <w:rFonts w:asciiTheme="minorHAnsi" w:eastAsia="Times New Roman" w:hAnsiTheme="minorHAnsi" w:cstheme="minorHAnsi"/>
          <w:b/>
          <w:bCs/>
          <w:color w:val="000000"/>
        </w:rPr>
      </w:pPr>
      <w:r w:rsidRPr="00350E85">
        <w:rPr>
          <w:rFonts w:asciiTheme="minorHAnsi" w:eastAsia="Times New Roman" w:hAnsiTheme="minorHAnsi" w:cstheme="minorHAnsi"/>
          <w:b/>
          <w:bCs/>
          <w:color w:val="000000"/>
        </w:rPr>
        <w:t xml:space="preserve">NB more than one person should be involved in preparing the critical appraisal e.g. </w:t>
      </w:r>
      <w:r>
        <w:rPr>
          <w:rFonts w:asciiTheme="minorHAnsi" w:eastAsia="Times New Roman" w:hAnsiTheme="minorHAnsi" w:cstheme="minorHAnsi"/>
          <w:b/>
          <w:bCs/>
          <w:color w:val="000000"/>
        </w:rPr>
        <w:t xml:space="preserve">a small committee OR </w:t>
      </w:r>
      <w:r w:rsidRPr="00350E85">
        <w:rPr>
          <w:rFonts w:asciiTheme="minorHAnsi" w:eastAsia="Times New Roman" w:hAnsiTheme="minorHAnsi" w:cstheme="minorHAnsi"/>
          <w:b/>
          <w:bCs/>
          <w:color w:val="000000"/>
        </w:rPr>
        <w:t>one of PVC Dean / ADESE / ADRKE completes the template and another reviews and comments</w:t>
      </w:r>
      <w:r>
        <w:rPr>
          <w:rFonts w:asciiTheme="minorHAnsi" w:eastAsia="Times New Roman" w:hAnsiTheme="minorHAnsi" w:cstheme="minorHAnsi"/>
          <w:b/>
          <w:bCs/>
          <w:color w:val="000000"/>
        </w:rPr>
        <w:t>. (NB This may not be</w:t>
      </w:r>
      <w:r w:rsidRPr="00350E85">
        <w:rPr>
          <w:rFonts w:asciiTheme="minorHAnsi" w:eastAsia="Times New Roman" w:hAnsiTheme="minorHAnsi" w:cstheme="minorHAnsi"/>
          <w:b/>
          <w:bCs/>
          <w:color w:val="000000"/>
        </w:rPr>
        <w:t xml:space="preserve"> </w:t>
      </w:r>
      <w:r>
        <w:rPr>
          <w:rFonts w:asciiTheme="minorHAnsi" w:eastAsia="Times New Roman" w:hAnsiTheme="minorHAnsi" w:cstheme="minorHAnsi"/>
          <w:b/>
          <w:bCs/>
          <w:color w:val="000000"/>
        </w:rPr>
        <w:t xml:space="preserve">possible </w:t>
      </w:r>
      <w:r w:rsidRPr="00350E85">
        <w:rPr>
          <w:rFonts w:asciiTheme="minorHAnsi" w:eastAsia="Times New Roman" w:hAnsiTheme="minorHAnsi" w:cstheme="minorHAnsi"/>
          <w:b/>
          <w:bCs/>
          <w:color w:val="000000"/>
        </w:rPr>
        <w:t>in directorates)</w:t>
      </w:r>
      <w:r>
        <w:rPr>
          <w:rFonts w:asciiTheme="minorHAnsi" w:eastAsia="Times New Roman" w:hAnsiTheme="minorHAnsi" w:cstheme="minorHAnsi"/>
          <w:b/>
          <w:bCs/>
          <w:color w:val="000000"/>
        </w:rPr>
        <w:t xml:space="preserve">. </w:t>
      </w:r>
    </w:p>
    <w:p w14:paraId="2ADF5758" w14:textId="77777777" w:rsidR="000A2018" w:rsidRPr="00350E85" w:rsidRDefault="000A2018" w:rsidP="000A2018">
      <w:pPr>
        <w:spacing w:line="240" w:lineRule="auto"/>
        <w:jc w:val="both"/>
        <w:rPr>
          <w:rFonts w:asciiTheme="minorHAnsi" w:eastAsia="Times New Roman" w:hAnsiTheme="minorHAnsi" w:cstheme="minorHAnsi"/>
        </w:rPr>
      </w:pPr>
      <w:r w:rsidRPr="00350E85">
        <w:rPr>
          <w:rFonts w:asciiTheme="minorHAnsi" w:eastAsia="Times New Roman" w:hAnsiTheme="minorHAnsi" w:cstheme="minorHAnsi"/>
          <w:b/>
          <w:bCs/>
        </w:rPr>
        <w:t>T</w:t>
      </w:r>
      <w:r>
        <w:rPr>
          <w:rFonts w:asciiTheme="minorHAnsi" w:eastAsia="Times New Roman" w:hAnsiTheme="minorHAnsi" w:cstheme="minorHAnsi"/>
          <w:b/>
          <w:bCs/>
        </w:rPr>
        <w:t>he applicant should be aware of the content of this document and whether their application is supported or not.</w:t>
      </w:r>
    </w:p>
    <w:p w14:paraId="5E9D2541" w14:textId="77777777" w:rsidR="00AB5EDA" w:rsidRPr="00C3453E" w:rsidRDefault="00AB5EDA">
      <w:pPr>
        <w:rPr>
          <w:rFonts w:asciiTheme="minorHAnsi" w:eastAsia="Arial" w:hAnsiTheme="minorHAnsi" w:cstheme="minorHAnsi"/>
          <w:b/>
          <w:sz w:val="21"/>
          <w:szCs w:val="21"/>
        </w:rPr>
      </w:pPr>
    </w:p>
    <w:p w14:paraId="4DAB0528" w14:textId="77777777" w:rsidR="00AB5EDA" w:rsidRPr="00C3453E" w:rsidRDefault="00AB5EDA">
      <w:pPr>
        <w:rPr>
          <w:rFonts w:asciiTheme="minorHAnsi" w:eastAsia="Arial" w:hAnsiTheme="minorHAnsi" w:cstheme="minorHAnsi"/>
          <w:b/>
          <w:sz w:val="21"/>
          <w:szCs w:val="21"/>
        </w:rPr>
      </w:pPr>
    </w:p>
    <w:sectPr w:rsidR="00AB5EDA" w:rsidRPr="00C3453E">
      <w:footerReference w:type="default" r:id="rId8"/>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A7001" w14:textId="77777777" w:rsidR="004A7611" w:rsidRDefault="004A7611">
      <w:pPr>
        <w:spacing w:after="0" w:line="240" w:lineRule="auto"/>
      </w:pPr>
      <w:r>
        <w:separator/>
      </w:r>
    </w:p>
  </w:endnote>
  <w:endnote w:type="continuationSeparator" w:id="0">
    <w:p w14:paraId="34AC70A1" w14:textId="77777777" w:rsidR="004A7611" w:rsidRDefault="004A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3067" w14:textId="77777777" w:rsidR="00AB5EDA" w:rsidRDefault="00AB5ED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B2705" w14:textId="77777777" w:rsidR="004A7611" w:rsidRDefault="004A7611">
      <w:pPr>
        <w:spacing w:after="0" w:line="240" w:lineRule="auto"/>
      </w:pPr>
      <w:r>
        <w:separator/>
      </w:r>
    </w:p>
  </w:footnote>
  <w:footnote w:type="continuationSeparator" w:id="0">
    <w:p w14:paraId="650AC8F2" w14:textId="77777777" w:rsidR="004A7611" w:rsidRDefault="004A7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5608"/>
    <w:multiLevelType w:val="multilevel"/>
    <w:tmpl w:val="675E0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015FD"/>
    <w:multiLevelType w:val="multilevel"/>
    <w:tmpl w:val="9AE48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D4AB1"/>
    <w:multiLevelType w:val="hybridMultilevel"/>
    <w:tmpl w:val="7880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E319E"/>
    <w:multiLevelType w:val="multilevel"/>
    <w:tmpl w:val="862CE0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6431AD"/>
    <w:multiLevelType w:val="multilevel"/>
    <w:tmpl w:val="DEAC2D3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EDA"/>
    <w:rsid w:val="000A2018"/>
    <w:rsid w:val="001B3FFB"/>
    <w:rsid w:val="002139BA"/>
    <w:rsid w:val="00350E85"/>
    <w:rsid w:val="004A7611"/>
    <w:rsid w:val="005C7856"/>
    <w:rsid w:val="006D0601"/>
    <w:rsid w:val="0080391E"/>
    <w:rsid w:val="00856F5C"/>
    <w:rsid w:val="00AB5EDA"/>
    <w:rsid w:val="00AC5A57"/>
    <w:rsid w:val="00C3453E"/>
    <w:rsid w:val="00EC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E00C"/>
  <w15:docId w15:val="{C85D21CD-BB6F-4A84-8A00-205C9131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D9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81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D96"/>
    <w:pPr>
      <w:spacing w:after="0" w:line="240" w:lineRule="auto"/>
    </w:pPr>
  </w:style>
  <w:style w:type="paragraph" w:styleId="Header">
    <w:name w:val="header"/>
    <w:basedOn w:val="Normal"/>
    <w:link w:val="HeaderChar"/>
    <w:uiPriority w:val="99"/>
    <w:unhideWhenUsed/>
    <w:rsid w:val="009B0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123"/>
  </w:style>
  <w:style w:type="paragraph" w:styleId="Footer">
    <w:name w:val="footer"/>
    <w:basedOn w:val="Normal"/>
    <w:link w:val="FooterChar"/>
    <w:uiPriority w:val="99"/>
    <w:unhideWhenUsed/>
    <w:rsid w:val="009B0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12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856F5C"/>
    <w:pPr>
      <w:ind w:left="720"/>
      <w:contextualSpacing/>
    </w:pPr>
  </w:style>
  <w:style w:type="paragraph" w:styleId="NormalWeb">
    <w:name w:val="Normal (Web)"/>
    <w:basedOn w:val="Normal"/>
    <w:uiPriority w:val="99"/>
    <w:unhideWhenUsed/>
    <w:rsid w:val="00856F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467648">
      <w:bodyDiv w:val="1"/>
      <w:marLeft w:val="0"/>
      <w:marRight w:val="0"/>
      <w:marTop w:val="0"/>
      <w:marBottom w:val="0"/>
      <w:divBdr>
        <w:top w:val="none" w:sz="0" w:space="0" w:color="auto"/>
        <w:left w:val="none" w:sz="0" w:space="0" w:color="auto"/>
        <w:bottom w:val="none" w:sz="0" w:space="0" w:color="auto"/>
        <w:right w:val="none" w:sz="0" w:space="0" w:color="auto"/>
      </w:divBdr>
    </w:div>
    <w:div w:id="643121182">
      <w:bodyDiv w:val="1"/>
      <w:marLeft w:val="0"/>
      <w:marRight w:val="0"/>
      <w:marTop w:val="0"/>
      <w:marBottom w:val="0"/>
      <w:divBdr>
        <w:top w:val="none" w:sz="0" w:space="0" w:color="auto"/>
        <w:left w:val="none" w:sz="0" w:space="0" w:color="auto"/>
        <w:bottom w:val="none" w:sz="0" w:space="0" w:color="auto"/>
        <w:right w:val="none" w:sz="0" w:space="0" w:color="auto"/>
      </w:divBdr>
    </w:div>
    <w:div w:id="737941151">
      <w:bodyDiv w:val="1"/>
      <w:marLeft w:val="0"/>
      <w:marRight w:val="0"/>
      <w:marTop w:val="0"/>
      <w:marBottom w:val="0"/>
      <w:divBdr>
        <w:top w:val="none" w:sz="0" w:space="0" w:color="auto"/>
        <w:left w:val="none" w:sz="0" w:space="0" w:color="auto"/>
        <w:bottom w:val="none" w:sz="0" w:space="0" w:color="auto"/>
        <w:right w:val="none" w:sz="0" w:space="0" w:color="auto"/>
      </w:divBdr>
    </w:div>
    <w:div w:id="825517275">
      <w:bodyDiv w:val="1"/>
      <w:marLeft w:val="0"/>
      <w:marRight w:val="0"/>
      <w:marTop w:val="0"/>
      <w:marBottom w:val="0"/>
      <w:divBdr>
        <w:top w:val="none" w:sz="0" w:space="0" w:color="auto"/>
        <w:left w:val="none" w:sz="0" w:space="0" w:color="auto"/>
        <w:bottom w:val="none" w:sz="0" w:space="0" w:color="auto"/>
        <w:right w:val="none" w:sz="0" w:space="0" w:color="auto"/>
      </w:divBdr>
    </w:div>
    <w:div w:id="1432046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VjtmHhIiQ8sWKn1odYkv3Hk/Q==">AMUW2mVknbatKjZkcTTX8VXFcDYl8deTFbw3Oae0Ff6LVpLvkr4kB4V+XNrqLh6FAQIw4zEF/owpN8Z8tQcA4QMSwbx9OKawjRztE4N07aWHSCoaoaMIfgEFqEBH6DfwYPXPHYaHIZ8V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Microsoft Office User</cp:lastModifiedBy>
  <cp:revision>2</cp:revision>
  <dcterms:created xsi:type="dcterms:W3CDTF">2023-02-13T14:12:00Z</dcterms:created>
  <dcterms:modified xsi:type="dcterms:W3CDTF">2023-02-13T14:12:00Z</dcterms:modified>
</cp:coreProperties>
</file>