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 xml:space="preserve">Job description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Date last reviewed</w:t>
      </w:r>
      <w:r>
        <w:t xml:space="preserve">: June 2013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ind w:left="0" w:firstLine="0"/>
      </w:pPr>
      <w:r>
        <w:rPr>
          <w:b/>
        </w:rPr>
        <w:t>Faculty</w:t>
      </w:r>
      <w:r>
        <w:t>: All faculties</w:t>
      </w:r>
      <w:r>
        <w:rPr>
          <w:b/>
        </w:rPr>
        <w:t xml:space="preserve"> </w:t>
      </w:r>
    </w:p>
    <w:p w:rsidR="0025603F" w:rsidRDefault="00C632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5603F" w:rsidRDefault="00C63260">
      <w:pPr>
        <w:ind w:left="0" w:firstLine="0"/>
      </w:pPr>
      <w:r>
        <w:rPr>
          <w:b/>
        </w:rPr>
        <w:t>Title of post</w:t>
      </w:r>
      <w:r>
        <w:t xml:space="preserve">: </w:t>
      </w:r>
      <w:bookmarkStart w:id="0" w:name="_GoBack"/>
      <w:r>
        <w:t xml:space="preserve">Student Support Co-ordinator </w:t>
      </w:r>
      <w:bookmarkEnd w:id="0"/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Grade of post</w:t>
      </w:r>
      <w:r>
        <w:t xml:space="preserve">: Grade 7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ind w:left="0" w:firstLine="0"/>
      </w:pPr>
      <w:r>
        <w:rPr>
          <w:b/>
        </w:rPr>
        <w:t>Post numbers</w:t>
      </w:r>
      <w:r>
        <w:t xml:space="preserve">: 17780, 17781, 17782, 17783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FT or % P/T</w:t>
      </w:r>
      <w:r>
        <w:t xml:space="preserve">: 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Permanent/Temporary</w:t>
      </w:r>
      <w:r>
        <w:t xml:space="preserve">: Permanent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Principal location of work</w:t>
      </w:r>
      <w:r>
        <w:t xml:space="preserve">: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ind w:left="0" w:firstLine="0"/>
      </w:pPr>
      <w:r>
        <w:rPr>
          <w:b/>
        </w:rPr>
        <w:t>Immediate line manager</w:t>
      </w:r>
      <w:r>
        <w:t xml:space="preserve">:  Academic Administration Manager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>Staff managed</w:t>
      </w:r>
      <w:r>
        <w:t xml:space="preserve">: none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ind w:left="0" w:firstLine="0"/>
      </w:pPr>
      <w:r>
        <w:rPr>
          <w:b/>
        </w:rPr>
        <w:t>Qualifications required for post</w:t>
      </w:r>
      <w:r>
        <w:t xml:space="preserve">: A levels or equivalent relevant administrative experience. </w:t>
      </w:r>
      <w:r>
        <w:t xml:space="preserve">An honours degree in a relevant discipline or relevant equivalent experience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-662176</wp:posOffset>
                </wp:positionH>
                <wp:positionV relativeFrom="paragraph">
                  <wp:posOffset>-4703997</wp:posOffset>
                </wp:positionV>
                <wp:extent cx="6744082" cy="9691879"/>
                <wp:effectExtent l="0" t="0" r="0" b="0"/>
                <wp:wrapNone/>
                <wp:docPr id="3949" name="Group 3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082" cy="9691879"/>
                          <a:chOff x="0" y="0"/>
                          <a:chExt cx="6744082" cy="969187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62177" y="3981"/>
                            <a:ext cx="46769" cy="18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03F" w:rsidRDefault="00C632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114681" y="800100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486281" y="0"/>
                            <a:ext cx="4572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800100">
                                <a:moveTo>
                                  <a:pt x="0" y="80010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43481" y="0"/>
                            <a:ext cx="4800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1">
                                <a:moveTo>
                                  <a:pt x="0" y="0"/>
                                </a:moveTo>
                                <a:lnTo>
                                  <a:pt x="4800601" y="0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719698" y="0"/>
                            <a:ext cx="24384" cy="969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9691879">
                                <a:moveTo>
                                  <a:pt x="24384" y="0"/>
                                </a:moveTo>
                                <a:lnTo>
                                  <a:pt x="0" y="9691879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0297" y="800100"/>
                            <a:ext cx="24384" cy="8891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891779">
                                <a:moveTo>
                                  <a:pt x="0" y="8891779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0" y="381"/>
                            <a:ext cx="157429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292" h="637032">
                                <a:moveTo>
                                  <a:pt x="0" y="0"/>
                                </a:moveTo>
                                <a:lnTo>
                                  <a:pt x="1574292" y="0"/>
                                </a:lnTo>
                                <a:lnTo>
                                  <a:pt x="157429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6100"/>
                            <a:ext cx="1390650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1482194" y="477182"/>
                            <a:ext cx="46769" cy="18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03F" w:rsidRDefault="00C632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58437" y="322497"/>
                            <a:ext cx="140610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03F" w:rsidRDefault="00C632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64291" y="322497"/>
                            <a:ext cx="46769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03F" w:rsidRDefault="00C632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49" style="width:531.03pt;height:763.14pt;position:absolute;z-index:-2147483640;mso-position-horizontal-relative:text;mso-position-horizontal:absolute;margin-left:-52.1399pt;mso-position-vertical-relative:text;margin-top:-370.393pt;" coordsize="67440,96918">
                <v:rect id="Rectangle 7" style="position:absolute;width:467;height:1879;left:6621;top: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0" style="position:absolute;width:13716;height:0;left:1146;top:8001;" coordsize="1371600,0" path="m0,0l1371600,0">
                  <v:stroke weight="0.78pt" endcap="round" joinstyle="round" on="true" color="#000000"/>
                  <v:fill on="false" color="#000000" opacity="0"/>
                </v:shape>
                <v:shape id="Shape 11" style="position:absolute;width:4572;height:8001;left:14862;top:0;" coordsize="457200,800100" path="m0,800100l457200,0">
                  <v:stroke weight="0.78pt" endcap="round" joinstyle="round" on="true" color="#000000"/>
                  <v:fill on="false" color="#000000" opacity="0"/>
                </v:shape>
                <v:shape id="Shape 12" style="position:absolute;width:48006;height:0;left:19434;top:0;" coordsize="4800601,0" path="m0,0l4800601,0">
                  <v:stroke weight="0.78pt" endcap="round" joinstyle="round" on="true" color="#000000"/>
                  <v:fill on="false" color="#000000" opacity="0"/>
                </v:shape>
                <v:shape id="Shape 13" style="position:absolute;width:243;height:96918;left:67196;top:0;" coordsize="24384,9691879" path="m24384,0l0,9691879">
                  <v:stroke weight="0.78pt" endcap="round" joinstyle="round" on="true" color="#000000"/>
                  <v:fill on="false" color="#000000" opacity="0"/>
                </v:shape>
                <v:shape id="Shape 14" style="position:absolute;width:243;height:88917;left:902;top:8001;" coordsize="24384,8891779" path="m0,8891779l24384,0">
                  <v:stroke weight="0.78pt" endcap="round" joinstyle="round" on="true" color="#000000"/>
                  <v:fill on="false" color="#000000" opacity="0"/>
                </v:shape>
                <v:shape id="Shape 4948" style="position:absolute;width:15742;height:6370;left:0;top:3;" coordsize="1574292,637032" path="m0,0l1574292,0l1574292,637032l0,637032l0,0">
                  <v:stroke weight="0pt" endcap="round" joinstyle="round" on="false" color="#000000" opacity="0"/>
                  <v:fill on="true" color="#ffffff"/>
                </v:shape>
                <v:shape id="Picture 17" style="position:absolute;width:13906;height:5455;left:914;top:461;" filled="f">
                  <v:imagedata r:id="rId6"/>
                </v:shape>
                <v:rect id="Rectangle 18" style="position:absolute;width:467;height:1879;left:14821;top:4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1406;height:1879;left:37584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" style="position:absolute;width:467;height:1879;left:38642;top:3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570357</wp:posOffset>
                </wp:positionH>
                <wp:positionV relativeFrom="page">
                  <wp:posOffset>10292716</wp:posOffset>
                </wp:positionV>
                <wp:extent cx="6628639" cy="9906"/>
                <wp:effectExtent l="0" t="0" r="0" b="0"/>
                <wp:wrapTopAndBottom/>
                <wp:docPr id="3952" name="Group 3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639" cy="9906"/>
                          <a:chOff x="0" y="0"/>
                          <a:chExt cx="6628639" cy="9906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628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8639">
                                <a:moveTo>
                                  <a:pt x="6628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9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2" style="width:521.94pt;height:0.78pt;position:absolute;mso-position-horizontal-relative:page;mso-position-horizontal:absolute;margin-left:44.91pt;mso-position-vertical-relative:page;margin-top:810.45pt;" coordsize="66286,99">
                <v:shape id="Shape 19" style="position:absolute;width:66286;height:0;left:0;top:0;" coordsize="6628639,0" path="m6628639,0l0,0">
                  <v:stroke weight="0.78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</w:rPr>
        <w:t>Experience required for post</w:t>
      </w:r>
      <w:r>
        <w:t>: Substantial demonstrable experience in a student-facing role within higher or further education.  Excellent communication, pro</w:t>
      </w:r>
      <w:r>
        <w:t xml:space="preserve">blem solving and negotiating skills.  Proven experience of taking a proactive role.  Ability to deal sensitively with people who have confidential problems.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ind w:left="0" w:firstLine="0"/>
      </w:pPr>
      <w:r>
        <w:rPr>
          <w:b/>
        </w:rPr>
        <w:t>Overall purpose of post</w:t>
      </w:r>
      <w:r>
        <w:t xml:space="preserve">: To provide first-line support to undergraduate and taught postgraduate </w:t>
      </w:r>
      <w:r>
        <w:t xml:space="preserve">students across the Faculty.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spacing w:after="0" w:line="259" w:lineRule="auto"/>
        <w:ind w:left="-5" w:hanging="10"/>
        <w:jc w:val="left"/>
      </w:pPr>
      <w:r>
        <w:rPr>
          <w:b/>
        </w:rPr>
        <w:t xml:space="preserve">Main duties: 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 xml:space="preserve">To take a lead role in supporting undergraduate and postgraduate students in the Faculty including responsibility for: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Providing a first point of call for students with academic issues or personal problems, giving appropriate advice or referring to relevant Faculty or </w:t>
      </w:r>
    </w:p>
    <w:p w:rsidR="0025603F" w:rsidRDefault="00C63260">
      <w:pPr>
        <w:ind w:left="1440" w:firstLine="0"/>
      </w:pPr>
      <w:r>
        <w:t xml:space="preserve">University student support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Working with programme teams and administrators, the Students’ Union and the </w:t>
      </w:r>
      <w:r>
        <w:t xml:space="preserve">University Induction Coordinator in the development and delivery of student Faculty induction programmes.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Developing an induction programme for Student Guiders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Organising and supporting student events, e.g. social events, Faculty’s Student </w:t>
      </w:r>
    </w:p>
    <w:p w:rsidR="0025603F" w:rsidRDefault="00C63260">
      <w:pPr>
        <w:ind w:left="1440" w:firstLine="0"/>
      </w:pPr>
      <w:r>
        <w:t>Representativ</w:t>
      </w:r>
      <w:r>
        <w:t xml:space="preserve">e Forum, skills development surgeries </w:t>
      </w:r>
      <w:proofErr w:type="spellStart"/>
      <w:r>
        <w:t>etc</w:t>
      </w:r>
      <w:proofErr w:type="spellEnd"/>
      <w:r>
        <w:t xml:space="preserve">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Producing within-programme communication, e.g. newsletters, emails, posters, liaising with marketing as appropriate; producing literature on the student support framework </w:t>
      </w:r>
    </w:p>
    <w:p w:rsidR="0025603F" w:rsidRDefault="00C63260">
      <w:pPr>
        <w:numPr>
          <w:ilvl w:val="1"/>
          <w:numId w:val="1"/>
        </w:numPr>
        <w:ind w:hanging="360"/>
      </w:pPr>
      <w:r>
        <w:t>Proactively using the Academic Performanc</w:t>
      </w:r>
      <w:r>
        <w:t xml:space="preserve">e Tracking Tool and other resources to identify students at risk of underachieving and taking appropriate action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Working with Academic Advisors, programme teams, Student </w:t>
      </w:r>
      <w:proofErr w:type="spellStart"/>
      <w:r>
        <w:t>Cental</w:t>
      </w:r>
      <w:proofErr w:type="spellEnd"/>
      <w:r>
        <w:t xml:space="preserve"> and the Students’ Union providing direct support and where appropriate, onward</w:t>
      </w:r>
      <w:r>
        <w:t xml:space="preserve"> referral for all students and especially those identified as possibly at risk of underachieving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Supporting students in the use of Personal Information Pages, On-line Programme Registration and virtual learning environments. </w:t>
      </w:r>
    </w:p>
    <w:p w:rsidR="0025603F" w:rsidRDefault="00C63260">
      <w:pPr>
        <w:numPr>
          <w:ilvl w:val="1"/>
          <w:numId w:val="1"/>
        </w:numPr>
        <w:ind w:hanging="360"/>
      </w:pPr>
      <w:r>
        <w:lastRenderedPageBreak/>
        <w:t>Being an active participant i</w:t>
      </w:r>
      <w:r>
        <w:t xml:space="preserve">n the </w:t>
      </w:r>
      <w:proofErr w:type="gramStart"/>
      <w:r>
        <w:t>cross</w:t>
      </w:r>
      <w:proofErr w:type="gramEnd"/>
      <w:r>
        <w:t>-University Student Support Coordinator network and with Student Services/Student Union to share good practice, identify new areas and develop new methods of working and keep up to date with legislation and relevant University policies/procedure</w:t>
      </w:r>
      <w:r>
        <w:t xml:space="preserve">s.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Leading on the organisation and processing of Personal Evacuation Plans for disabled students; liaising with the Facilities and Services Manager to ensure relevant equipment for individuals is in place. </w:t>
      </w:r>
    </w:p>
    <w:p w:rsidR="0025603F" w:rsidRDefault="00C63260">
      <w:pPr>
        <w:numPr>
          <w:ilvl w:val="1"/>
          <w:numId w:val="1"/>
        </w:numPr>
        <w:ind w:hanging="360"/>
      </w:pPr>
      <w:r>
        <w:t>Providing advice and guidance to students on tra</w:t>
      </w:r>
      <w:r>
        <w:t xml:space="preserve">nsition from stage 1 to stages 2 and 3 taking into account academic regulations. </w:t>
      </w:r>
    </w:p>
    <w:p w:rsidR="0025603F" w:rsidRDefault="00C63260">
      <w:pPr>
        <w:numPr>
          <w:ilvl w:val="1"/>
          <w:numId w:val="1"/>
        </w:numPr>
        <w:ind w:hanging="360"/>
      </w:pPr>
      <w:r>
        <w:t xml:space="preserve">Providing advice and guidance to staff and students on the process of applying for mitigating circumstances.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 xml:space="preserve">Attend and support programme committee meetings and away days </w:t>
      </w:r>
      <w:r>
        <w:t xml:space="preserve">and to represent the faculty on relevant University committees.  </w:t>
      </w:r>
    </w:p>
    <w:p w:rsidR="0025603F" w:rsidRDefault="00C63260">
      <w:pPr>
        <w:spacing w:after="0" w:line="259" w:lineRule="auto"/>
        <w:ind w:left="36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 xml:space="preserve">Lead on the recruitment, training and supporting of student representatives in conjunction with the Students Union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>Liaise with Central Services to ensure that International students fai</w:t>
      </w:r>
      <w:r>
        <w:t xml:space="preserve">ling to submit work and/or attend lectures are identified, contacted and managed as appropriate.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>Participate in marketing and recruitment, including providing applicant/</w:t>
      </w:r>
      <w:r>
        <w:t xml:space="preserve">visit day support (This will require occasional attendance outside of normal working hours), and to contribute to the production of marketing materials. 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>Liaise closely with the Associate Dean: Student Experience to ensure that the Student Support Frame</w:t>
      </w:r>
      <w:r>
        <w:t xml:space="preserve">work is working effectively.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 xml:space="preserve">Prepare annual and ad hoc reports for the Faculty Executive Team evaluating the operation of the Student Support Co-ordinator activities and roles, identify trends and maintain an enquiry database.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>
      <w:pPr>
        <w:numPr>
          <w:ilvl w:val="0"/>
          <w:numId w:val="1"/>
        </w:numPr>
        <w:ind w:hanging="360"/>
      </w:pPr>
      <w:r>
        <w:t>Proactively develop and</w:t>
      </w:r>
      <w:r>
        <w:t xml:space="preserve"> provide other undergraduate and postgraduate student support activities as part of a Faculty-wide team, in consultation with the Associate Dean (Student Experience) </w:t>
      </w:r>
    </w:p>
    <w:p w:rsidR="0025603F" w:rsidRDefault="00C63260">
      <w:pPr>
        <w:spacing w:after="0" w:line="259" w:lineRule="auto"/>
        <w:ind w:left="0" w:firstLine="0"/>
        <w:jc w:val="left"/>
      </w:pPr>
      <w:r>
        <w:t xml:space="preserve"> </w:t>
      </w:r>
    </w:p>
    <w:p w:rsidR="0025603F" w:rsidRDefault="00C63260" w:rsidP="00C63260">
      <w:pPr>
        <w:numPr>
          <w:ilvl w:val="0"/>
          <w:numId w:val="1"/>
        </w:numPr>
        <w:ind w:hanging="360"/>
      </w:pPr>
      <w:r>
        <w:t xml:space="preserve">Undertake any other duties commensurate with the grade and level of responsibility for </w:t>
      </w:r>
      <w:r>
        <w:t xml:space="preserve">this post, for which the post holder has the necessary experience and/or training. </w:t>
      </w:r>
    </w:p>
    <w:sectPr w:rsidR="0025603F">
      <w:pgSz w:w="11900" w:h="16840"/>
      <w:pgMar w:top="950" w:right="1786" w:bottom="627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4775A"/>
    <w:multiLevelType w:val="hybridMultilevel"/>
    <w:tmpl w:val="28383F02"/>
    <w:lvl w:ilvl="0" w:tplc="8D6E367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AADA8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DC9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692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6E0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873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A49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806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07D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3F"/>
    <w:rsid w:val="0025603F"/>
    <w:rsid w:val="00C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E6AE"/>
  <w15:docId w15:val="{B5BC98F7-1D94-4CC7-93E6-2082B47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Support Coordinator_Clean.doc</vt:lpstr>
    </vt:vector>
  </TitlesOfParts>
  <Company>Oxford Brookes University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Support Coordinator_Clean.doc</dc:title>
  <dc:subject/>
  <dc:creator>DREWETT, LIZ</dc:creator>
  <cp:keywords/>
  <cp:lastModifiedBy>Laura Fortuna</cp:lastModifiedBy>
  <cp:revision>2</cp:revision>
  <dcterms:created xsi:type="dcterms:W3CDTF">2018-02-23T13:00:00Z</dcterms:created>
  <dcterms:modified xsi:type="dcterms:W3CDTF">2018-02-23T13:00:00Z</dcterms:modified>
</cp:coreProperties>
</file>