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32D53" w14:textId="77777777" w:rsidR="00D910E3" w:rsidRDefault="00D910E3">
      <w:pPr>
        <w:pBdr>
          <w:top w:val="nil"/>
          <w:left w:val="nil"/>
          <w:bottom w:val="nil"/>
          <w:right w:val="nil"/>
          <w:between w:val="nil"/>
        </w:pBdr>
        <w:rPr>
          <w:rFonts w:ascii="Times New Roman" w:eastAsia="Times New Roman" w:hAnsi="Times New Roman" w:cs="Times New Roman"/>
          <w:color w:val="000000"/>
          <w:sz w:val="20"/>
          <w:szCs w:val="20"/>
        </w:rPr>
      </w:pPr>
    </w:p>
    <w:p w14:paraId="4BCEB486" w14:textId="77777777" w:rsidR="00D910E3" w:rsidRDefault="00D910E3">
      <w:pPr>
        <w:pBdr>
          <w:top w:val="nil"/>
          <w:left w:val="nil"/>
          <w:bottom w:val="nil"/>
          <w:right w:val="nil"/>
          <w:between w:val="nil"/>
        </w:pBdr>
        <w:rPr>
          <w:rFonts w:ascii="Times New Roman" w:eastAsia="Times New Roman" w:hAnsi="Times New Roman" w:cs="Times New Roman"/>
          <w:color w:val="000000"/>
          <w:sz w:val="20"/>
          <w:szCs w:val="20"/>
        </w:rPr>
      </w:pPr>
    </w:p>
    <w:p w14:paraId="53F05DAF" w14:textId="77777777" w:rsidR="00D910E3" w:rsidRDefault="00D910E3">
      <w:pPr>
        <w:pBdr>
          <w:top w:val="nil"/>
          <w:left w:val="nil"/>
          <w:bottom w:val="nil"/>
          <w:right w:val="nil"/>
          <w:between w:val="nil"/>
        </w:pBdr>
        <w:rPr>
          <w:rFonts w:ascii="Times New Roman" w:eastAsia="Times New Roman" w:hAnsi="Times New Roman" w:cs="Times New Roman"/>
          <w:color w:val="000000"/>
          <w:sz w:val="20"/>
          <w:szCs w:val="20"/>
        </w:rPr>
      </w:pPr>
    </w:p>
    <w:p w14:paraId="4746D6B8" w14:textId="77777777" w:rsidR="00D910E3" w:rsidRPr="004C030E" w:rsidRDefault="000D6EEE">
      <w:pPr>
        <w:pBdr>
          <w:top w:val="nil"/>
          <w:left w:val="nil"/>
          <w:bottom w:val="nil"/>
          <w:right w:val="nil"/>
          <w:between w:val="nil"/>
        </w:pBdr>
        <w:rPr>
          <w:rFonts w:eastAsia="Times New Roman"/>
          <w:b/>
          <w:color w:val="000000"/>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sidR="004C030E">
        <w:rPr>
          <w:rFonts w:ascii="Times New Roman" w:eastAsia="Times New Roman" w:hAnsi="Times New Roman" w:cs="Times New Roman"/>
          <w:color w:val="000000"/>
          <w:sz w:val="20"/>
          <w:szCs w:val="20"/>
        </w:rPr>
        <w:tab/>
      </w:r>
      <w:r w:rsidR="004C030E">
        <w:rPr>
          <w:rFonts w:ascii="Times New Roman" w:eastAsia="Times New Roman" w:hAnsi="Times New Roman" w:cs="Times New Roman"/>
          <w:color w:val="000000"/>
          <w:sz w:val="20"/>
          <w:szCs w:val="20"/>
        </w:rPr>
        <w:tab/>
      </w:r>
      <w:r w:rsidR="004C030E">
        <w:rPr>
          <w:rFonts w:ascii="Times New Roman" w:eastAsia="Times New Roman" w:hAnsi="Times New Roman" w:cs="Times New Roman"/>
          <w:color w:val="000000"/>
          <w:sz w:val="20"/>
          <w:szCs w:val="20"/>
        </w:rPr>
        <w:tab/>
      </w:r>
      <w:r w:rsidRPr="004C030E">
        <w:rPr>
          <w:rFonts w:eastAsia="Times New Roman"/>
          <w:b/>
          <w:color w:val="000000"/>
        </w:rPr>
        <w:tab/>
      </w:r>
      <w:r w:rsidRPr="004C030E">
        <w:rPr>
          <w:rFonts w:eastAsia="Times New Roman"/>
          <w:b/>
          <w:color w:val="000000"/>
        </w:rPr>
        <w:tab/>
      </w:r>
      <w:r w:rsidRPr="004C030E">
        <w:rPr>
          <w:rFonts w:eastAsia="Times New Roman"/>
          <w:b/>
          <w:color w:val="000000"/>
        </w:rPr>
        <w:tab/>
      </w:r>
    </w:p>
    <w:p w14:paraId="03A82A03" w14:textId="77777777" w:rsidR="00D910E3" w:rsidRDefault="00E72E10">
      <w:pPr>
        <w:spacing w:before="92"/>
        <w:ind w:left="1440" w:right="-33" w:firstLine="720"/>
        <w:jc w:val="right"/>
        <w:rPr>
          <w:b/>
          <w:sz w:val="24"/>
          <w:szCs w:val="24"/>
        </w:rPr>
      </w:pPr>
      <w:r>
        <w:rPr>
          <w:b/>
          <w:sz w:val="24"/>
          <w:szCs w:val="24"/>
        </w:rPr>
        <w:t xml:space="preserve">                 </w:t>
      </w:r>
    </w:p>
    <w:p w14:paraId="65606E68" w14:textId="77777777" w:rsidR="00D910E3" w:rsidRDefault="00D910E3">
      <w:pPr>
        <w:pBdr>
          <w:top w:val="nil"/>
          <w:left w:val="nil"/>
          <w:bottom w:val="nil"/>
          <w:right w:val="nil"/>
          <w:between w:val="nil"/>
        </w:pBdr>
        <w:rPr>
          <w:b/>
          <w:color w:val="000000"/>
          <w:sz w:val="24"/>
          <w:szCs w:val="24"/>
        </w:rPr>
      </w:pPr>
    </w:p>
    <w:p w14:paraId="3F788A43" w14:textId="128F37CE" w:rsidR="00D910E3" w:rsidRDefault="00E72E10">
      <w:pPr>
        <w:rPr>
          <w:b/>
          <w:sz w:val="28"/>
          <w:szCs w:val="28"/>
        </w:rPr>
      </w:pPr>
      <w:r>
        <w:rPr>
          <w:b/>
          <w:sz w:val="28"/>
          <w:szCs w:val="28"/>
        </w:rPr>
        <w:t>Fina</w:t>
      </w:r>
      <w:r w:rsidR="00F02681">
        <w:rPr>
          <w:b/>
          <w:sz w:val="28"/>
          <w:szCs w:val="28"/>
        </w:rPr>
        <w:t>nce and Resources Committee 202</w:t>
      </w:r>
      <w:r w:rsidR="00344C09">
        <w:rPr>
          <w:b/>
          <w:sz w:val="28"/>
          <w:szCs w:val="28"/>
        </w:rPr>
        <w:t>5/26</w:t>
      </w:r>
    </w:p>
    <w:p w14:paraId="0E5CF732" w14:textId="77777777" w:rsidR="00D910E3" w:rsidRDefault="00D910E3">
      <w:pPr>
        <w:rPr>
          <w:b/>
          <w:sz w:val="28"/>
          <w:szCs w:val="28"/>
        </w:rPr>
      </w:pPr>
    </w:p>
    <w:tbl>
      <w:tblPr>
        <w:tblStyle w:val="a"/>
        <w:tblW w:w="10343" w:type="dxa"/>
        <w:tblBorders>
          <w:top w:val="nil"/>
          <w:left w:val="nil"/>
          <w:bottom w:val="nil"/>
          <w:right w:val="nil"/>
          <w:insideH w:val="nil"/>
          <w:insideV w:val="nil"/>
        </w:tblBorders>
        <w:tblLayout w:type="fixed"/>
        <w:tblLook w:val="0400" w:firstRow="0" w:lastRow="0" w:firstColumn="0" w:lastColumn="0" w:noHBand="0" w:noVBand="1"/>
      </w:tblPr>
      <w:tblGrid>
        <w:gridCol w:w="828"/>
        <w:gridCol w:w="9515"/>
      </w:tblGrid>
      <w:tr w:rsidR="00D910E3" w14:paraId="771DA1F1" w14:textId="77777777">
        <w:tc>
          <w:tcPr>
            <w:tcW w:w="828" w:type="dxa"/>
          </w:tcPr>
          <w:p w14:paraId="1F83FE40" w14:textId="77777777" w:rsidR="00D910E3" w:rsidRDefault="00E72E10">
            <w:pPr>
              <w:rPr>
                <w:b/>
              </w:rPr>
            </w:pPr>
            <w:r>
              <w:rPr>
                <w:b/>
              </w:rPr>
              <w:t xml:space="preserve">1. </w:t>
            </w:r>
          </w:p>
        </w:tc>
        <w:tc>
          <w:tcPr>
            <w:tcW w:w="9515" w:type="dxa"/>
          </w:tcPr>
          <w:p w14:paraId="25BDA2DC" w14:textId="77777777" w:rsidR="00D910E3" w:rsidRDefault="00E72E10">
            <w:pPr>
              <w:rPr>
                <w:b/>
              </w:rPr>
            </w:pPr>
            <w:r>
              <w:rPr>
                <w:b/>
              </w:rPr>
              <w:t>Summary of Purpose</w:t>
            </w:r>
          </w:p>
        </w:tc>
      </w:tr>
      <w:tr w:rsidR="00D910E3" w14:paraId="5DA0C3B7" w14:textId="77777777">
        <w:tc>
          <w:tcPr>
            <w:tcW w:w="828" w:type="dxa"/>
          </w:tcPr>
          <w:p w14:paraId="46DA9A74" w14:textId="77777777" w:rsidR="00D910E3" w:rsidRDefault="00D910E3">
            <w:pPr>
              <w:rPr>
                <w:b/>
              </w:rPr>
            </w:pPr>
          </w:p>
        </w:tc>
        <w:tc>
          <w:tcPr>
            <w:tcW w:w="9515" w:type="dxa"/>
          </w:tcPr>
          <w:p w14:paraId="4B643061" w14:textId="77777777" w:rsidR="00D910E3" w:rsidRDefault="00D910E3">
            <w:pPr>
              <w:rPr>
                <w:b/>
              </w:rPr>
            </w:pPr>
          </w:p>
        </w:tc>
      </w:tr>
      <w:tr w:rsidR="00D910E3" w14:paraId="43413762" w14:textId="77777777">
        <w:tc>
          <w:tcPr>
            <w:tcW w:w="828" w:type="dxa"/>
          </w:tcPr>
          <w:p w14:paraId="7B813272" w14:textId="77777777" w:rsidR="00D910E3" w:rsidRDefault="00E72E10">
            <w:r>
              <w:t>1.1</w:t>
            </w:r>
          </w:p>
        </w:tc>
        <w:tc>
          <w:tcPr>
            <w:tcW w:w="9515" w:type="dxa"/>
          </w:tcPr>
          <w:p w14:paraId="26793FFE" w14:textId="77777777" w:rsidR="00D910E3" w:rsidRDefault="00E72E10">
            <w:r>
              <w:t>The Finance and Resources Committee is responsible to the Board of Governors for advising the Vice-Chancellor, on a recommendation to the Board of Governors, for the coming year’s recurrent and capital budgets, and on the cash flow forecast and draft balance sheet arising.</w:t>
            </w:r>
          </w:p>
          <w:p w14:paraId="1498C16D" w14:textId="77777777" w:rsidR="00D910E3" w:rsidRDefault="00D910E3">
            <w:pPr>
              <w:rPr>
                <w:b/>
              </w:rPr>
            </w:pPr>
          </w:p>
        </w:tc>
      </w:tr>
      <w:tr w:rsidR="00D910E3" w14:paraId="4DD85F72" w14:textId="77777777">
        <w:tc>
          <w:tcPr>
            <w:tcW w:w="828" w:type="dxa"/>
          </w:tcPr>
          <w:p w14:paraId="37F67AB3" w14:textId="77777777" w:rsidR="00D910E3" w:rsidRDefault="00E72E10">
            <w:r>
              <w:t>1.2</w:t>
            </w:r>
          </w:p>
        </w:tc>
        <w:tc>
          <w:tcPr>
            <w:tcW w:w="9515" w:type="dxa"/>
          </w:tcPr>
          <w:p w14:paraId="05CE058A" w14:textId="34D24CBC" w:rsidR="00D910E3" w:rsidRPr="00170FBF" w:rsidRDefault="00E72E10">
            <w:r>
              <w:t xml:space="preserve">Consider for approval by the Board of Governors, a rolling five-year strategic plan, including financial plans (both revenue and capital) projected ten-year cash flow and balance sheets, taking account of the requirements of the Bank Lenders and </w:t>
            </w:r>
            <w:r w:rsidR="0035074E">
              <w:t xml:space="preserve">the </w:t>
            </w:r>
            <w:r w:rsidR="0035074E" w:rsidRPr="00170FBF">
              <w:t>Office for Students (</w:t>
            </w:r>
            <w:proofErr w:type="spellStart"/>
            <w:r w:rsidR="0035074E" w:rsidRPr="00170FBF">
              <w:t>OfS</w:t>
            </w:r>
            <w:proofErr w:type="spellEnd"/>
            <w:r w:rsidR="0035074E" w:rsidRPr="00170FBF">
              <w:t>).</w:t>
            </w:r>
          </w:p>
          <w:p w14:paraId="4BB730CF" w14:textId="77777777" w:rsidR="00D910E3" w:rsidRDefault="00D910E3">
            <w:pPr>
              <w:rPr>
                <w:b/>
              </w:rPr>
            </w:pPr>
          </w:p>
        </w:tc>
      </w:tr>
      <w:tr w:rsidR="00D910E3" w14:paraId="3792252D" w14:textId="77777777">
        <w:tc>
          <w:tcPr>
            <w:tcW w:w="828" w:type="dxa"/>
          </w:tcPr>
          <w:p w14:paraId="00D287FD" w14:textId="77777777" w:rsidR="00D910E3" w:rsidRDefault="00E72E10">
            <w:r>
              <w:t>1.3</w:t>
            </w:r>
          </w:p>
        </w:tc>
        <w:tc>
          <w:tcPr>
            <w:tcW w:w="9515" w:type="dxa"/>
          </w:tcPr>
          <w:p w14:paraId="27B793C8" w14:textId="77777777" w:rsidR="00D910E3" w:rsidRDefault="00E72E10">
            <w:r>
              <w:t>Recommend the Estates Strategy to the Board of Governors, and monitor and review its application and implementation.</w:t>
            </w:r>
          </w:p>
          <w:p w14:paraId="48AD3334" w14:textId="77777777" w:rsidR="00D910E3" w:rsidRDefault="00D910E3"/>
        </w:tc>
      </w:tr>
      <w:tr w:rsidR="00D910E3" w14:paraId="07EAC4E5" w14:textId="77777777">
        <w:tc>
          <w:tcPr>
            <w:tcW w:w="828" w:type="dxa"/>
          </w:tcPr>
          <w:p w14:paraId="7CA8F1E1" w14:textId="77777777" w:rsidR="00D910E3" w:rsidRDefault="00F02681">
            <w:r>
              <w:t>1.4</w:t>
            </w:r>
          </w:p>
          <w:p w14:paraId="78545054" w14:textId="77777777" w:rsidR="00D910E3" w:rsidRDefault="00D910E3"/>
        </w:tc>
        <w:tc>
          <w:tcPr>
            <w:tcW w:w="9515" w:type="dxa"/>
          </w:tcPr>
          <w:p w14:paraId="559A8FA4" w14:textId="77777777" w:rsidR="00D910E3" w:rsidRDefault="00E72E10">
            <w:r>
              <w:t>Recommend the IT Strategy to the Board of Governors, and monitor and review its implementation.</w:t>
            </w:r>
          </w:p>
          <w:p w14:paraId="25855A6D" w14:textId="77777777" w:rsidR="00D910E3" w:rsidRDefault="00D910E3"/>
        </w:tc>
      </w:tr>
      <w:tr w:rsidR="00D910E3" w14:paraId="194B5657" w14:textId="77777777">
        <w:tc>
          <w:tcPr>
            <w:tcW w:w="828" w:type="dxa"/>
          </w:tcPr>
          <w:p w14:paraId="549028A2" w14:textId="77777777" w:rsidR="00D910E3" w:rsidRDefault="00F02681">
            <w:r>
              <w:t>1.5</w:t>
            </w:r>
          </w:p>
          <w:p w14:paraId="3973A578" w14:textId="77777777" w:rsidR="00D910E3" w:rsidRDefault="00D910E3"/>
        </w:tc>
        <w:tc>
          <w:tcPr>
            <w:tcW w:w="9515" w:type="dxa"/>
          </w:tcPr>
          <w:p w14:paraId="249FC589" w14:textId="77777777" w:rsidR="00D910E3" w:rsidRDefault="00E72E10">
            <w:r>
              <w:t>Review changes to and the implementation of other key University strategies from time to time, as necessary.</w:t>
            </w:r>
          </w:p>
          <w:p w14:paraId="2069E38D" w14:textId="77777777" w:rsidR="00D910E3" w:rsidRDefault="00D910E3"/>
        </w:tc>
      </w:tr>
      <w:tr w:rsidR="00D910E3" w14:paraId="1154E433" w14:textId="77777777">
        <w:tc>
          <w:tcPr>
            <w:tcW w:w="828" w:type="dxa"/>
          </w:tcPr>
          <w:p w14:paraId="7A3C1155" w14:textId="77777777" w:rsidR="00D910E3" w:rsidRDefault="00F02681">
            <w:r>
              <w:t>1.6</w:t>
            </w:r>
          </w:p>
          <w:p w14:paraId="6D71DFE3" w14:textId="77777777" w:rsidR="00D910E3" w:rsidRDefault="00D910E3"/>
        </w:tc>
        <w:tc>
          <w:tcPr>
            <w:tcW w:w="9515" w:type="dxa"/>
          </w:tcPr>
          <w:p w14:paraId="44A70AF7" w14:textId="77777777" w:rsidR="00D910E3" w:rsidRDefault="00E72E10">
            <w:r>
              <w:t>Review and recommend to the Board of Governors borrowing or other financial vehicles necessary to fund the strategy, and the release of funds for specific projects.</w:t>
            </w:r>
          </w:p>
          <w:p w14:paraId="575C772D" w14:textId="77777777" w:rsidR="00D910E3" w:rsidRDefault="00D910E3"/>
        </w:tc>
      </w:tr>
      <w:tr w:rsidR="00D910E3" w14:paraId="462C0D1C" w14:textId="77777777">
        <w:tc>
          <w:tcPr>
            <w:tcW w:w="828" w:type="dxa"/>
          </w:tcPr>
          <w:p w14:paraId="00C32CC2" w14:textId="77777777" w:rsidR="00D910E3" w:rsidRDefault="00F02681">
            <w:r>
              <w:t>1.7</w:t>
            </w:r>
          </w:p>
          <w:p w14:paraId="5A98B2BE" w14:textId="77777777" w:rsidR="00D910E3" w:rsidRDefault="00D910E3"/>
        </w:tc>
        <w:tc>
          <w:tcPr>
            <w:tcW w:w="9515" w:type="dxa"/>
          </w:tcPr>
          <w:p w14:paraId="2F0DF991" w14:textId="77777777" w:rsidR="00D910E3" w:rsidRDefault="00E72E10">
            <w:r>
              <w:t>Recommend to the Board of Governors, the acquisition or disposal of lands and buildings.</w:t>
            </w:r>
          </w:p>
        </w:tc>
      </w:tr>
      <w:tr w:rsidR="00D910E3" w14:paraId="429394E9" w14:textId="77777777">
        <w:tc>
          <w:tcPr>
            <w:tcW w:w="828" w:type="dxa"/>
          </w:tcPr>
          <w:p w14:paraId="22FFD86B" w14:textId="77777777" w:rsidR="00D910E3" w:rsidRDefault="00D910E3"/>
        </w:tc>
        <w:tc>
          <w:tcPr>
            <w:tcW w:w="9515" w:type="dxa"/>
          </w:tcPr>
          <w:p w14:paraId="4C1E5444" w14:textId="77777777" w:rsidR="00D910E3" w:rsidRDefault="00D910E3"/>
        </w:tc>
      </w:tr>
      <w:tr w:rsidR="00D910E3" w14:paraId="2B6D1D8B" w14:textId="77777777">
        <w:tc>
          <w:tcPr>
            <w:tcW w:w="828" w:type="dxa"/>
          </w:tcPr>
          <w:p w14:paraId="32C4912D" w14:textId="77777777" w:rsidR="00D910E3" w:rsidRDefault="00E72E10">
            <w:pPr>
              <w:rPr>
                <w:b/>
              </w:rPr>
            </w:pPr>
            <w:r>
              <w:rPr>
                <w:b/>
              </w:rPr>
              <w:t>2.</w:t>
            </w:r>
          </w:p>
        </w:tc>
        <w:tc>
          <w:tcPr>
            <w:tcW w:w="9515" w:type="dxa"/>
          </w:tcPr>
          <w:p w14:paraId="3A023FB8" w14:textId="77777777" w:rsidR="00D910E3" w:rsidRDefault="00E72E10">
            <w:pPr>
              <w:rPr>
                <w:b/>
              </w:rPr>
            </w:pPr>
            <w:r>
              <w:rPr>
                <w:b/>
              </w:rPr>
              <w:t>Frequency of Meetings</w:t>
            </w:r>
          </w:p>
          <w:p w14:paraId="03533D8E" w14:textId="77777777" w:rsidR="00D910E3" w:rsidRDefault="00D910E3"/>
        </w:tc>
      </w:tr>
      <w:tr w:rsidR="00D910E3" w14:paraId="05B8FB18" w14:textId="77777777">
        <w:tc>
          <w:tcPr>
            <w:tcW w:w="828" w:type="dxa"/>
          </w:tcPr>
          <w:p w14:paraId="141336BE" w14:textId="77777777" w:rsidR="00D910E3" w:rsidRDefault="00E72E10">
            <w:r>
              <w:t>2.1</w:t>
            </w:r>
          </w:p>
        </w:tc>
        <w:tc>
          <w:tcPr>
            <w:tcW w:w="9515" w:type="dxa"/>
          </w:tcPr>
          <w:p w14:paraId="4027C7F4" w14:textId="77777777" w:rsidR="00D910E3" w:rsidRDefault="00E72E10">
            <w:r>
              <w:t>The Finance and Resources Committee normally meet</w:t>
            </w:r>
            <w:r w:rsidRPr="00F02681">
              <w:t xml:space="preserve">s five </w:t>
            </w:r>
            <w:r>
              <w:t>times per year.</w:t>
            </w:r>
          </w:p>
          <w:p w14:paraId="512EA691" w14:textId="77777777" w:rsidR="00D910E3" w:rsidRDefault="00D910E3">
            <w:pPr>
              <w:rPr>
                <w:b/>
              </w:rPr>
            </w:pPr>
          </w:p>
        </w:tc>
      </w:tr>
      <w:tr w:rsidR="00D910E3" w14:paraId="00538AB1" w14:textId="77777777">
        <w:tc>
          <w:tcPr>
            <w:tcW w:w="828" w:type="dxa"/>
          </w:tcPr>
          <w:p w14:paraId="24858935" w14:textId="77777777" w:rsidR="00D910E3" w:rsidRDefault="00D910E3">
            <w:pPr>
              <w:rPr>
                <w:b/>
              </w:rPr>
            </w:pPr>
          </w:p>
        </w:tc>
        <w:tc>
          <w:tcPr>
            <w:tcW w:w="9515" w:type="dxa"/>
          </w:tcPr>
          <w:p w14:paraId="31ED86A7" w14:textId="77777777" w:rsidR="00D910E3" w:rsidRDefault="00D910E3">
            <w:pPr>
              <w:rPr>
                <w:b/>
              </w:rPr>
            </w:pPr>
          </w:p>
        </w:tc>
      </w:tr>
      <w:tr w:rsidR="00D910E3" w14:paraId="743EF42E" w14:textId="77777777">
        <w:tc>
          <w:tcPr>
            <w:tcW w:w="828" w:type="dxa"/>
          </w:tcPr>
          <w:p w14:paraId="1FFC497F" w14:textId="77777777" w:rsidR="00D910E3" w:rsidRDefault="00E72E10">
            <w:pPr>
              <w:rPr>
                <w:b/>
              </w:rPr>
            </w:pPr>
            <w:r>
              <w:rPr>
                <w:b/>
              </w:rPr>
              <w:t>3.</w:t>
            </w:r>
          </w:p>
        </w:tc>
        <w:tc>
          <w:tcPr>
            <w:tcW w:w="9515" w:type="dxa"/>
          </w:tcPr>
          <w:p w14:paraId="2C9C5286" w14:textId="77777777" w:rsidR="00D910E3" w:rsidRDefault="00E72E10">
            <w:pPr>
              <w:rPr>
                <w:b/>
              </w:rPr>
            </w:pPr>
            <w:r>
              <w:rPr>
                <w:b/>
              </w:rPr>
              <w:t xml:space="preserve">Duties and </w:t>
            </w:r>
            <w:sdt>
              <w:sdtPr>
                <w:tag w:val="goog_rdk_0"/>
                <w:id w:val="-2085829970"/>
              </w:sdtPr>
              <w:sdtEndPr/>
              <w:sdtContent/>
            </w:sdt>
            <w:r>
              <w:rPr>
                <w:b/>
              </w:rPr>
              <w:t>Responsibilities</w:t>
            </w:r>
          </w:p>
          <w:p w14:paraId="0416A830" w14:textId="77777777" w:rsidR="00D910E3" w:rsidRDefault="00D910E3" w:rsidP="00E72E10">
            <w:pPr>
              <w:rPr>
                <w:b/>
              </w:rPr>
            </w:pPr>
          </w:p>
        </w:tc>
      </w:tr>
      <w:tr w:rsidR="00E72E10" w14:paraId="14B0CBC5" w14:textId="77777777">
        <w:tc>
          <w:tcPr>
            <w:tcW w:w="828" w:type="dxa"/>
          </w:tcPr>
          <w:p w14:paraId="2E2A7223" w14:textId="77777777" w:rsidR="00E72E10" w:rsidRPr="00E72E10" w:rsidRDefault="00E72E10">
            <w:r w:rsidRPr="00E72E10">
              <w:t>3.1</w:t>
            </w:r>
          </w:p>
          <w:p w14:paraId="2D697212" w14:textId="77777777" w:rsidR="00E72E10" w:rsidRDefault="00E72E10">
            <w:pPr>
              <w:rPr>
                <w:b/>
              </w:rPr>
            </w:pPr>
          </w:p>
        </w:tc>
        <w:tc>
          <w:tcPr>
            <w:tcW w:w="9515" w:type="dxa"/>
          </w:tcPr>
          <w:p w14:paraId="4149EFB6" w14:textId="77777777" w:rsidR="00E72E10" w:rsidRPr="00F02681" w:rsidRDefault="00E72E10" w:rsidP="00E72E10">
            <w:pPr>
              <w:pBdr>
                <w:top w:val="nil"/>
                <w:left w:val="nil"/>
                <w:bottom w:val="nil"/>
                <w:right w:val="nil"/>
                <w:between w:val="nil"/>
              </w:pBdr>
            </w:pPr>
            <w:r w:rsidRPr="00F02681">
              <w:t>To test the robustness</w:t>
            </w:r>
            <w:r w:rsidR="000950A5" w:rsidRPr="00F02681">
              <w:t xml:space="preserve"> of matters brought before the C</w:t>
            </w:r>
            <w:r w:rsidRPr="00F02681">
              <w:t>ommittee in order to provide the Board of Governors with assurance around the effectiveness of decision making</w:t>
            </w:r>
            <w:r w:rsidR="000950A5" w:rsidRPr="00F02681">
              <w:t>.</w:t>
            </w:r>
          </w:p>
          <w:p w14:paraId="4C7DE46B" w14:textId="77777777" w:rsidR="00E72E10" w:rsidRDefault="00E72E10">
            <w:pPr>
              <w:rPr>
                <w:b/>
              </w:rPr>
            </w:pPr>
          </w:p>
        </w:tc>
      </w:tr>
      <w:tr w:rsidR="00D910E3" w14:paraId="29191414" w14:textId="77777777">
        <w:tc>
          <w:tcPr>
            <w:tcW w:w="828" w:type="dxa"/>
          </w:tcPr>
          <w:p w14:paraId="5D85F172" w14:textId="77777777" w:rsidR="00D910E3" w:rsidRDefault="00E72E10">
            <w:r>
              <w:t>3.2</w:t>
            </w:r>
          </w:p>
          <w:p w14:paraId="768C9B0C" w14:textId="77777777" w:rsidR="00D910E3" w:rsidRDefault="00D910E3"/>
        </w:tc>
        <w:tc>
          <w:tcPr>
            <w:tcW w:w="9515" w:type="dxa"/>
          </w:tcPr>
          <w:p w14:paraId="0B250623" w14:textId="77777777" w:rsidR="00D910E3" w:rsidRDefault="00E72E10">
            <w:r>
              <w:t>To advise the Board of Governors on their consideration of budget monitoring statements covering recurrent and capital expenditure and cash flow.</w:t>
            </w:r>
          </w:p>
          <w:p w14:paraId="26691A0C" w14:textId="77777777" w:rsidR="00D910E3" w:rsidRDefault="00D910E3">
            <w:pPr>
              <w:rPr>
                <w:b/>
              </w:rPr>
            </w:pPr>
          </w:p>
        </w:tc>
      </w:tr>
      <w:tr w:rsidR="00D910E3" w14:paraId="2F11503D" w14:textId="77777777">
        <w:tc>
          <w:tcPr>
            <w:tcW w:w="828" w:type="dxa"/>
          </w:tcPr>
          <w:p w14:paraId="42241550" w14:textId="77777777" w:rsidR="00D910E3" w:rsidRDefault="00E72E10">
            <w:r>
              <w:t>3.3</w:t>
            </w:r>
          </w:p>
          <w:p w14:paraId="7D5273ED" w14:textId="77777777" w:rsidR="00D910E3" w:rsidRDefault="00D910E3"/>
        </w:tc>
        <w:tc>
          <w:tcPr>
            <w:tcW w:w="9515" w:type="dxa"/>
          </w:tcPr>
          <w:p w14:paraId="5F365171" w14:textId="77777777" w:rsidR="00D910E3" w:rsidRDefault="00E72E10">
            <w:r>
              <w:t>To keep under review and advise the Board of Governors on changes to the financial regulations and related matters.</w:t>
            </w:r>
          </w:p>
          <w:p w14:paraId="41DF501D" w14:textId="77777777" w:rsidR="00D910E3" w:rsidRDefault="00D910E3"/>
        </w:tc>
      </w:tr>
      <w:tr w:rsidR="00D910E3" w14:paraId="455BC256" w14:textId="77777777">
        <w:tc>
          <w:tcPr>
            <w:tcW w:w="828" w:type="dxa"/>
          </w:tcPr>
          <w:p w14:paraId="463FF69F" w14:textId="77777777" w:rsidR="00D910E3" w:rsidRDefault="00E72E10">
            <w:r>
              <w:t>3.4</w:t>
            </w:r>
          </w:p>
        </w:tc>
        <w:tc>
          <w:tcPr>
            <w:tcW w:w="9515" w:type="dxa"/>
          </w:tcPr>
          <w:p w14:paraId="1EE51006" w14:textId="77777777" w:rsidR="00D910E3" w:rsidRDefault="00E72E10">
            <w:r>
              <w:t>To keep under review and approve the University's policy for investment of surplus funds, of endowment assets and its subsidiary, joint venture and other companies.</w:t>
            </w:r>
          </w:p>
          <w:p w14:paraId="54A47CFC" w14:textId="77777777" w:rsidR="00D910E3" w:rsidRDefault="00D910E3">
            <w:bookmarkStart w:id="0" w:name="_heading=h.gjdgxs" w:colFirst="0" w:colLast="0"/>
            <w:bookmarkEnd w:id="0"/>
          </w:p>
        </w:tc>
      </w:tr>
      <w:tr w:rsidR="00D910E3" w14:paraId="666E5323" w14:textId="77777777">
        <w:tc>
          <w:tcPr>
            <w:tcW w:w="828" w:type="dxa"/>
          </w:tcPr>
          <w:p w14:paraId="6C3B4192" w14:textId="77777777" w:rsidR="00D910E3" w:rsidRDefault="00E72E10">
            <w:r>
              <w:t>3.5</w:t>
            </w:r>
          </w:p>
        </w:tc>
        <w:tc>
          <w:tcPr>
            <w:tcW w:w="9515" w:type="dxa"/>
          </w:tcPr>
          <w:p w14:paraId="582A3634" w14:textId="31814F48" w:rsidR="00D910E3" w:rsidRDefault="00E72E10">
            <w:r>
              <w:t>To review the performance of the University against such indicators and benchmarks as may be appropriate.</w:t>
            </w:r>
          </w:p>
        </w:tc>
      </w:tr>
      <w:tr w:rsidR="00D910E3" w14:paraId="05AA4441" w14:textId="77777777">
        <w:tc>
          <w:tcPr>
            <w:tcW w:w="828" w:type="dxa"/>
          </w:tcPr>
          <w:p w14:paraId="31785549" w14:textId="77777777" w:rsidR="00D910E3" w:rsidRDefault="00E72E10">
            <w:r>
              <w:lastRenderedPageBreak/>
              <w:t>3.6</w:t>
            </w:r>
          </w:p>
        </w:tc>
        <w:tc>
          <w:tcPr>
            <w:tcW w:w="9515" w:type="dxa"/>
          </w:tcPr>
          <w:p w14:paraId="706C96C0" w14:textId="77777777" w:rsidR="00D910E3" w:rsidRDefault="00E72E10">
            <w:r>
              <w:t>To give advice to the Board of Governors as may be required from time to time on the framework for determining tuition and other fees to be charged by the University.</w:t>
            </w:r>
          </w:p>
          <w:p w14:paraId="10E03DA9" w14:textId="77777777" w:rsidR="00D910E3" w:rsidRDefault="00D910E3"/>
        </w:tc>
      </w:tr>
      <w:tr w:rsidR="00D910E3" w14:paraId="17CFD0FF" w14:textId="77777777">
        <w:tc>
          <w:tcPr>
            <w:tcW w:w="828" w:type="dxa"/>
          </w:tcPr>
          <w:p w14:paraId="70092C81" w14:textId="77777777" w:rsidR="00D910E3" w:rsidRDefault="00E72E10">
            <w:r>
              <w:t>3.7</w:t>
            </w:r>
          </w:p>
        </w:tc>
        <w:tc>
          <w:tcPr>
            <w:tcW w:w="9515" w:type="dxa"/>
          </w:tcPr>
          <w:p w14:paraId="2AFD483A" w14:textId="77777777" w:rsidR="00D910E3" w:rsidRDefault="00E72E10">
            <w:r>
              <w:t xml:space="preserve">To undertake such other responsibilities as may be delegated by the Board of Governors and to provide such other advice on financial matters as may be required from time to time by the Board of Governors or the Vice-Chancellor, but specifically the Finance and Resources Committee may </w:t>
            </w:r>
            <w:proofErr w:type="spellStart"/>
            <w:r>
              <w:t>authorise</w:t>
            </w:r>
            <w:proofErr w:type="spellEnd"/>
            <w:r>
              <w:t>:</w:t>
            </w:r>
          </w:p>
          <w:p w14:paraId="51C89A2F" w14:textId="77777777" w:rsidR="00D910E3" w:rsidRDefault="00D910E3"/>
        </w:tc>
      </w:tr>
      <w:tr w:rsidR="00D910E3" w14:paraId="30171E08" w14:textId="77777777">
        <w:tc>
          <w:tcPr>
            <w:tcW w:w="828" w:type="dxa"/>
          </w:tcPr>
          <w:p w14:paraId="1A918AE6" w14:textId="77777777" w:rsidR="00D910E3" w:rsidRDefault="00E72E10">
            <w:r>
              <w:t>3.7.1</w:t>
            </w:r>
          </w:p>
        </w:tc>
        <w:tc>
          <w:tcPr>
            <w:tcW w:w="9515" w:type="dxa"/>
          </w:tcPr>
          <w:p w14:paraId="5C8A5F3D" w14:textId="77777777" w:rsidR="00D910E3" w:rsidRDefault="00E72E10">
            <w:r>
              <w:t xml:space="preserve"> Any capital project financed from grant or donations where the net cost to the University is </w:t>
            </w:r>
          </w:p>
          <w:p w14:paraId="43747E27" w14:textId="77777777" w:rsidR="00D910E3" w:rsidRDefault="00E72E10">
            <w:r>
              <w:t xml:space="preserve"> already included within the capital </w:t>
            </w:r>
            <w:proofErr w:type="spellStart"/>
            <w:r>
              <w:t>programme</w:t>
            </w:r>
            <w:proofErr w:type="spellEnd"/>
            <w:r>
              <w:t>.</w:t>
            </w:r>
          </w:p>
          <w:p w14:paraId="67187396" w14:textId="77777777" w:rsidR="00D910E3" w:rsidRDefault="00D910E3"/>
        </w:tc>
      </w:tr>
      <w:tr w:rsidR="00D910E3" w14:paraId="356C8FA0" w14:textId="77777777">
        <w:tc>
          <w:tcPr>
            <w:tcW w:w="828" w:type="dxa"/>
          </w:tcPr>
          <w:p w14:paraId="01E7D8E6" w14:textId="77777777" w:rsidR="00D910E3" w:rsidRDefault="00E72E10">
            <w:r>
              <w:t>3.7.2</w:t>
            </w:r>
          </w:p>
        </w:tc>
        <w:tc>
          <w:tcPr>
            <w:tcW w:w="9515" w:type="dxa"/>
          </w:tcPr>
          <w:p w14:paraId="3678A7AD" w14:textId="77777777" w:rsidR="00D910E3" w:rsidRDefault="00E72E10">
            <w:r>
              <w:t xml:space="preserve">Any capital project where the net costs can be met from budget set aside in the approved </w:t>
            </w:r>
          </w:p>
          <w:p w14:paraId="4DC57390" w14:textId="77777777" w:rsidR="00D910E3" w:rsidRDefault="00E72E10">
            <w:r>
              <w:t xml:space="preserve">capital </w:t>
            </w:r>
            <w:proofErr w:type="spellStart"/>
            <w:r>
              <w:t>programme</w:t>
            </w:r>
            <w:proofErr w:type="spellEnd"/>
            <w:r>
              <w:t xml:space="preserve"> for unspecified schemes.</w:t>
            </w:r>
          </w:p>
          <w:p w14:paraId="2AEF3261" w14:textId="77777777" w:rsidR="00D910E3" w:rsidRDefault="00D910E3"/>
        </w:tc>
      </w:tr>
      <w:tr w:rsidR="00D910E3" w14:paraId="58932292" w14:textId="77777777">
        <w:tc>
          <w:tcPr>
            <w:tcW w:w="828" w:type="dxa"/>
          </w:tcPr>
          <w:p w14:paraId="20CEC58B" w14:textId="77777777" w:rsidR="00D910E3" w:rsidRPr="00F02681" w:rsidRDefault="00E72E10">
            <w:r w:rsidRPr="00F02681">
              <w:t>3.7.3</w:t>
            </w:r>
          </w:p>
        </w:tc>
        <w:tc>
          <w:tcPr>
            <w:tcW w:w="9515" w:type="dxa"/>
          </w:tcPr>
          <w:p w14:paraId="377D25DC" w14:textId="77777777" w:rsidR="00D910E3" w:rsidRPr="00F02681" w:rsidRDefault="00E72E10" w:rsidP="00E72E10">
            <w:r w:rsidRPr="00F02681">
              <w:t xml:space="preserve">Any proposal to </w:t>
            </w:r>
            <w:proofErr w:type="spellStart"/>
            <w:r w:rsidRPr="00F02681">
              <w:t>licence</w:t>
            </w:r>
            <w:proofErr w:type="spellEnd"/>
            <w:r w:rsidRPr="00F02681">
              <w:t xml:space="preserve"> and/or any transfer of value of IP or the taking of equity, consistent with University Policy.</w:t>
            </w:r>
          </w:p>
          <w:p w14:paraId="572243E2" w14:textId="77777777" w:rsidR="00E72E10" w:rsidRPr="00F02681" w:rsidRDefault="00E72E10" w:rsidP="00E72E10"/>
        </w:tc>
      </w:tr>
      <w:tr w:rsidR="00D910E3" w14:paraId="52A2E321" w14:textId="77777777">
        <w:tc>
          <w:tcPr>
            <w:tcW w:w="828" w:type="dxa"/>
          </w:tcPr>
          <w:p w14:paraId="1FA22357" w14:textId="77777777" w:rsidR="00D910E3" w:rsidRDefault="00E72E10">
            <w:r>
              <w:t>3.8</w:t>
            </w:r>
          </w:p>
        </w:tc>
        <w:tc>
          <w:tcPr>
            <w:tcW w:w="9515" w:type="dxa"/>
          </w:tcPr>
          <w:p w14:paraId="2A329474" w14:textId="77777777" w:rsidR="00D910E3" w:rsidRDefault="00E72E10">
            <w:r>
              <w:t>To report to the Board of Governors changes to the approved budget which adversely impact the University’s budgeted surplus</w:t>
            </w:r>
            <w:r w:rsidR="00837EE9">
              <w:t xml:space="preserve"> or deficit </w:t>
            </w:r>
            <w:r>
              <w:t xml:space="preserve">by up to a limit of £500,000 which have been </w:t>
            </w:r>
            <w:proofErr w:type="spellStart"/>
            <w:r>
              <w:t>authorised</w:t>
            </w:r>
            <w:proofErr w:type="spellEnd"/>
            <w:r>
              <w:t xml:space="preserve"> by the Vice-Chancellor.</w:t>
            </w:r>
          </w:p>
          <w:p w14:paraId="7175E36E" w14:textId="77777777" w:rsidR="00D910E3" w:rsidRDefault="00D910E3"/>
        </w:tc>
      </w:tr>
      <w:tr w:rsidR="00D910E3" w14:paraId="0A4B013A" w14:textId="77777777">
        <w:tc>
          <w:tcPr>
            <w:tcW w:w="828" w:type="dxa"/>
          </w:tcPr>
          <w:p w14:paraId="4DF03FAE" w14:textId="77777777" w:rsidR="00D910E3" w:rsidRDefault="00E72E10">
            <w:r>
              <w:t>3.9</w:t>
            </w:r>
          </w:p>
        </w:tc>
        <w:tc>
          <w:tcPr>
            <w:tcW w:w="9515" w:type="dxa"/>
          </w:tcPr>
          <w:p w14:paraId="07722660" w14:textId="21AB27F1" w:rsidR="003B44E5" w:rsidRPr="003B44E5" w:rsidRDefault="00E72E10" w:rsidP="003B44E5">
            <w:r>
              <w:t xml:space="preserve">To report to the Board of Governors any increase in capital expenditure of up to </w:t>
            </w:r>
            <w:r w:rsidR="00837EE9">
              <w:t>10% of any single project approved budget</w:t>
            </w:r>
            <w:r w:rsidR="003B44E5">
              <w:t xml:space="preserve">, </w:t>
            </w:r>
            <w:r w:rsidR="003B44E5" w:rsidRPr="003B44E5">
              <w:t>capped at £2.5m</w:t>
            </w:r>
            <w:r w:rsidR="003B44E5">
              <w:t xml:space="preserve"> </w:t>
            </w:r>
            <w:r w:rsidR="003B44E5" w:rsidRPr="00987DAC">
              <w:rPr>
                <w:color w:val="000000" w:themeColor="text1"/>
              </w:rPr>
              <w:t>per annum</w:t>
            </w:r>
            <w:r w:rsidR="003B44E5" w:rsidRPr="003B44E5">
              <w:t xml:space="preserve">, which has been </w:t>
            </w:r>
            <w:proofErr w:type="spellStart"/>
            <w:r w:rsidR="003B44E5" w:rsidRPr="003B44E5">
              <w:t>authorised</w:t>
            </w:r>
            <w:proofErr w:type="spellEnd"/>
            <w:r w:rsidR="003B44E5" w:rsidRPr="003B44E5">
              <w:t xml:space="preserve"> by the Chief Financial Officer</w:t>
            </w:r>
            <w:r w:rsidR="003B44E5">
              <w:t xml:space="preserve">.  </w:t>
            </w:r>
          </w:p>
          <w:p w14:paraId="516E29EB" w14:textId="03D2BC01" w:rsidR="003B44E5" w:rsidRDefault="003B44E5" w:rsidP="003B44E5"/>
        </w:tc>
      </w:tr>
      <w:tr w:rsidR="003B44E5" w14:paraId="764B989F" w14:textId="77777777">
        <w:tc>
          <w:tcPr>
            <w:tcW w:w="828" w:type="dxa"/>
          </w:tcPr>
          <w:p w14:paraId="036EEE60" w14:textId="393B2816" w:rsidR="003B44E5" w:rsidRDefault="003B44E5">
            <w:r>
              <w:t>3.10</w:t>
            </w:r>
          </w:p>
          <w:p w14:paraId="1944D388" w14:textId="77777777" w:rsidR="003B44E5" w:rsidRDefault="003B44E5"/>
        </w:tc>
        <w:tc>
          <w:tcPr>
            <w:tcW w:w="9515" w:type="dxa"/>
          </w:tcPr>
          <w:p w14:paraId="02365D97" w14:textId="77777777" w:rsidR="003B44E5" w:rsidRPr="00987DAC" w:rsidRDefault="003B44E5" w:rsidP="003B44E5">
            <w:pPr>
              <w:rPr>
                <w:color w:val="000000" w:themeColor="text1"/>
              </w:rPr>
            </w:pPr>
            <w:r w:rsidRPr="00987DAC">
              <w:rPr>
                <w:color w:val="000000" w:themeColor="text1"/>
              </w:rPr>
              <w:t>To recommend to the Board of Governors any amendments to capital expenditure greater than 10% of any single project approved budget or any amendment which would result in greater than £2.5m of additional capital spend per annum.</w:t>
            </w:r>
          </w:p>
          <w:p w14:paraId="0073D1FD" w14:textId="482D2F89" w:rsidR="003B44E5" w:rsidRPr="003B44E5" w:rsidRDefault="003B44E5" w:rsidP="003B44E5">
            <w:pPr>
              <w:rPr>
                <w:b/>
                <w:bCs/>
                <w:i/>
                <w:iCs/>
              </w:rPr>
            </w:pPr>
          </w:p>
        </w:tc>
      </w:tr>
      <w:tr w:rsidR="00D910E3" w14:paraId="70B2B606" w14:textId="77777777">
        <w:tc>
          <w:tcPr>
            <w:tcW w:w="828" w:type="dxa"/>
          </w:tcPr>
          <w:p w14:paraId="7A7AD446" w14:textId="77C4D74B" w:rsidR="00D910E3" w:rsidRDefault="00E72E10">
            <w:r>
              <w:t>3.1</w:t>
            </w:r>
            <w:r w:rsidR="003B44E5">
              <w:t>1</w:t>
            </w:r>
          </w:p>
        </w:tc>
        <w:tc>
          <w:tcPr>
            <w:tcW w:w="9515" w:type="dxa"/>
          </w:tcPr>
          <w:p w14:paraId="552E8933" w14:textId="2F3B0019" w:rsidR="00D910E3" w:rsidRPr="003B44E5" w:rsidRDefault="00E72E10">
            <w:pPr>
              <w:rPr>
                <w:strike/>
              </w:rPr>
            </w:pPr>
            <w:r>
              <w:t>To recommend to the Board of Governors any amendments greater than £500,000 in the revenue budget</w:t>
            </w:r>
            <w:r w:rsidR="003B44E5">
              <w:t>.</w:t>
            </w:r>
            <w:r>
              <w:t xml:space="preserve"> </w:t>
            </w:r>
            <w:r w:rsidRPr="003B44E5">
              <w:rPr>
                <w:strike/>
              </w:rPr>
              <w:t xml:space="preserve">or greater than £500,000 in the capital budget. </w:t>
            </w:r>
          </w:p>
          <w:p w14:paraId="75524875" w14:textId="77777777" w:rsidR="00D910E3" w:rsidRDefault="00D910E3"/>
        </w:tc>
      </w:tr>
      <w:tr w:rsidR="00D910E3" w14:paraId="3BEA2AF6" w14:textId="77777777">
        <w:tc>
          <w:tcPr>
            <w:tcW w:w="828" w:type="dxa"/>
          </w:tcPr>
          <w:p w14:paraId="12FDF866" w14:textId="4DAA2EE8" w:rsidR="00D910E3" w:rsidRDefault="00E72E10">
            <w:r>
              <w:t>3.1</w:t>
            </w:r>
            <w:r w:rsidR="003B44E5">
              <w:t>2</w:t>
            </w:r>
          </w:p>
        </w:tc>
        <w:tc>
          <w:tcPr>
            <w:tcW w:w="9515" w:type="dxa"/>
          </w:tcPr>
          <w:p w14:paraId="342F0A0B" w14:textId="77777777" w:rsidR="00D910E3" w:rsidRDefault="00E72E10">
            <w:r>
              <w:t>To approve the Trac return.</w:t>
            </w:r>
          </w:p>
          <w:p w14:paraId="0BA10930" w14:textId="77777777" w:rsidR="00D910E3" w:rsidRDefault="00D910E3"/>
        </w:tc>
      </w:tr>
      <w:tr w:rsidR="00D910E3" w14:paraId="406973E7" w14:textId="77777777">
        <w:tc>
          <w:tcPr>
            <w:tcW w:w="828" w:type="dxa"/>
          </w:tcPr>
          <w:p w14:paraId="217F05DF" w14:textId="0087F6DB" w:rsidR="00D910E3" w:rsidRDefault="00E72E10">
            <w:r>
              <w:t>3.1</w:t>
            </w:r>
            <w:r w:rsidR="003B44E5">
              <w:t>3</w:t>
            </w:r>
          </w:p>
        </w:tc>
        <w:tc>
          <w:tcPr>
            <w:tcW w:w="9515" w:type="dxa"/>
          </w:tcPr>
          <w:p w14:paraId="21110212" w14:textId="47F363BB" w:rsidR="00D910E3" w:rsidRDefault="00E72E10">
            <w:r>
              <w:t xml:space="preserve">To provide assurance to the Audit </w:t>
            </w:r>
            <w:r w:rsidR="00D174F1">
              <w:t xml:space="preserve">and Risk </w:t>
            </w:r>
            <w:r>
              <w:t>Committee on:</w:t>
            </w:r>
          </w:p>
          <w:p w14:paraId="24894003" w14:textId="77777777" w:rsidR="00D910E3" w:rsidRDefault="00D910E3"/>
        </w:tc>
      </w:tr>
      <w:tr w:rsidR="00D910E3" w14:paraId="6D1B21C1" w14:textId="77777777">
        <w:tc>
          <w:tcPr>
            <w:tcW w:w="828" w:type="dxa"/>
          </w:tcPr>
          <w:p w14:paraId="28904354" w14:textId="11CD80C8" w:rsidR="00D910E3" w:rsidRDefault="00E72E10">
            <w:r>
              <w:t>3.1</w:t>
            </w:r>
            <w:r w:rsidR="003B44E5">
              <w:t>3</w:t>
            </w:r>
            <w:r>
              <w:t>.1</w:t>
            </w:r>
          </w:p>
        </w:tc>
        <w:tc>
          <w:tcPr>
            <w:tcW w:w="9515" w:type="dxa"/>
          </w:tcPr>
          <w:p w14:paraId="4173C242" w14:textId="77777777" w:rsidR="00D910E3" w:rsidRDefault="00E72E10">
            <w:pPr>
              <w:rPr>
                <w:color w:val="212121"/>
              </w:rPr>
            </w:pPr>
            <w:r>
              <w:rPr>
                <w:color w:val="212121"/>
              </w:rPr>
              <w:t xml:space="preserve">     The reconciliation of management accounts to financial accounts.</w:t>
            </w:r>
          </w:p>
          <w:p w14:paraId="10F04887" w14:textId="77777777" w:rsidR="00D910E3" w:rsidRDefault="00D910E3"/>
        </w:tc>
      </w:tr>
      <w:tr w:rsidR="00D910E3" w14:paraId="26785AB4" w14:textId="77777777">
        <w:tc>
          <w:tcPr>
            <w:tcW w:w="828" w:type="dxa"/>
          </w:tcPr>
          <w:p w14:paraId="44EAEA97" w14:textId="02D1108F" w:rsidR="00D910E3" w:rsidRDefault="00E72E10">
            <w:r>
              <w:t>3.1</w:t>
            </w:r>
            <w:r w:rsidR="003B44E5">
              <w:t>3</w:t>
            </w:r>
            <w:r>
              <w:t>.2</w:t>
            </w:r>
          </w:p>
          <w:p w14:paraId="033677E7" w14:textId="77777777" w:rsidR="00D910E3" w:rsidRDefault="00D910E3"/>
        </w:tc>
        <w:tc>
          <w:tcPr>
            <w:tcW w:w="9515" w:type="dxa"/>
          </w:tcPr>
          <w:p w14:paraId="5BA2929D" w14:textId="77777777" w:rsidR="00D910E3" w:rsidRDefault="00E72E10">
            <w:pPr>
              <w:rPr>
                <w:color w:val="212121"/>
              </w:rPr>
            </w:pPr>
            <w:r>
              <w:rPr>
                <w:color w:val="212121"/>
              </w:rPr>
              <w:t xml:space="preserve">      Comparison of the year end results with the previous year end results (including variance </w:t>
            </w:r>
          </w:p>
          <w:p w14:paraId="06DF65A3" w14:textId="77777777" w:rsidR="00D910E3" w:rsidRDefault="00E72E10">
            <w:pPr>
              <w:rPr>
                <w:color w:val="212121"/>
              </w:rPr>
            </w:pPr>
            <w:r>
              <w:rPr>
                <w:color w:val="212121"/>
              </w:rPr>
              <w:t xml:space="preserve">      analysis).</w:t>
            </w:r>
          </w:p>
          <w:p w14:paraId="434AC51A" w14:textId="77777777" w:rsidR="00D910E3" w:rsidRDefault="00D910E3"/>
        </w:tc>
      </w:tr>
      <w:tr w:rsidR="00D910E3" w14:paraId="0FD02997" w14:textId="77777777">
        <w:tc>
          <w:tcPr>
            <w:tcW w:w="828" w:type="dxa"/>
          </w:tcPr>
          <w:p w14:paraId="723C6036" w14:textId="0744A9EE" w:rsidR="00D910E3" w:rsidRDefault="00E72E10">
            <w:r>
              <w:t>3.1</w:t>
            </w:r>
            <w:r w:rsidR="003B44E5">
              <w:t>3</w:t>
            </w:r>
            <w:r>
              <w:t>.3</w:t>
            </w:r>
          </w:p>
          <w:p w14:paraId="1143F9FF" w14:textId="77777777" w:rsidR="00D910E3" w:rsidRDefault="00D910E3"/>
        </w:tc>
        <w:tc>
          <w:tcPr>
            <w:tcW w:w="9515" w:type="dxa"/>
          </w:tcPr>
          <w:p w14:paraId="77DA6135" w14:textId="77777777" w:rsidR="00D910E3" w:rsidRDefault="00E72E10">
            <w:pPr>
              <w:rPr>
                <w:color w:val="212121"/>
              </w:rPr>
            </w:pPr>
            <w:r>
              <w:rPr>
                <w:color w:val="212121"/>
              </w:rPr>
              <w:t xml:space="preserve">      Changes to accounting policies or in the application of accounting policies.</w:t>
            </w:r>
          </w:p>
        </w:tc>
      </w:tr>
      <w:tr w:rsidR="007D633A" w14:paraId="24DD40A4" w14:textId="77777777">
        <w:tc>
          <w:tcPr>
            <w:tcW w:w="828" w:type="dxa"/>
          </w:tcPr>
          <w:p w14:paraId="3FD838BB" w14:textId="2635A340" w:rsidR="007D633A" w:rsidRDefault="007D633A">
            <w:r>
              <w:t>3.1</w:t>
            </w:r>
            <w:r w:rsidR="003B44E5">
              <w:t>4</w:t>
            </w:r>
          </w:p>
        </w:tc>
        <w:tc>
          <w:tcPr>
            <w:tcW w:w="9515" w:type="dxa"/>
          </w:tcPr>
          <w:p w14:paraId="65054495" w14:textId="77777777" w:rsidR="007D633A" w:rsidRDefault="001A7CA7" w:rsidP="001A7CA7">
            <w:pPr>
              <w:rPr>
                <w:shd w:val="clear" w:color="auto" w:fill="FFFFFF"/>
              </w:rPr>
            </w:pPr>
            <w:r w:rsidRPr="0030019E">
              <w:rPr>
                <w:shd w:val="clear" w:color="auto" w:fill="FFFFFF"/>
              </w:rPr>
              <w:t>To provide assurance to the Audit</w:t>
            </w:r>
            <w:r w:rsidR="00DB6E79">
              <w:rPr>
                <w:shd w:val="clear" w:color="auto" w:fill="FFFFFF"/>
              </w:rPr>
              <w:t xml:space="preserve"> and Risk</w:t>
            </w:r>
            <w:r w:rsidRPr="0030019E">
              <w:rPr>
                <w:shd w:val="clear" w:color="auto" w:fill="FFFFFF"/>
              </w:rPr>
              <w:t xml:space="preserve"> Committee</w:t>
            </w:r>
            <w:r w:rsidR="00DB6E79">
              <w:rPr>
                <w:shd w:val="clear" w:color="auto" w:fill="FFFFFF"/>
              </w:rPr>
              <w:t xml:space="preserve"> </w:t>
            </w:r>
            <w:r w:rsidR="00DB6E79" w:rsidRPr="00DB6E79">
              <w:rPr>
                <w:shd w:val="clear" w:color="auto" w:fill="FFFFFF"/>
              </w:rPr>
              <w:t>in respect of the University's compliance with its statutory safety obligations by assessing not only that there is sufficient funding available to meet the requirements of compliance directed by the Audit &amp; Risk Committee but also that planned spending on statutory safety compliance is being carried out to projected timescales. The Committee will also draw attention to non</w:t>
            </w:r>
            <w:r w:rsidR="00DB6E79">
              <w:rPr>
                <w:shd w:val="clear" w:color="auto" w:fill="FFFFFF"/>
              </w:rPr>
              <w:t>-</w:t>
            </w:r>
            <w:r w:rsidR="00DB6E79" w:rsidRPr="00DB6E79">
              <w:rPr>
                <w:shd w:val="clear" w:color="auto" w:fill="FFFFFF"/>
              </w:rPr>
              <w:t>compliance</w:t>
            </w:r>
            <w:r w:rsidR="00DB6E79">
              <w:rPr>
                <w:shd w:val="clear" w:color="auto" w:fill="FFFFFF"/>
              </w:rPr>
              <w:t xml:space="preserve"> </w:t>
            </w:r>
            <w:r w:rsidR="00DB6E79" w:rsidRPr="00DB6E79">
              <w:rPr>
                <w:shd w:val="clear" w:color="auto" w:fill="FFFFFF"/>
              </w:rPr>
              <w:t>related lifecycle spend being deferred which might in the fullness of time cause non-compliance issues</w:t>
            </w:r>
            <w:r w:rsidR="00DB6E79">
              <w:rPr>
                <w:shd w:val="clear" w:color="auto" w:fill="FFFFFF"/>
              </w:rPr>
              <w:t>.</w:t>
            </w:r>
          </w:p>
          <w:p w14:paraId="1625027D" w14:textId="77777777" w:rsidR="00DB6E79" w:rsidRPr="0030019E" w:rsidRDefault="00DB6E79" w:rsidP="001A7CA7">
            <w:pPr>
              <w:rPr>
                <w:highlight w:val="yellow"/>
              </w:rPr>
            </w:pPr>
          </w:p>
        </w:tc>
      </w:tr>
      <w:tr w:rsidR="00541407" w14:paraId="372DC455" w14:textId="77777777">
        <w:tc>
          <w:tcPr>
            <w:tcW w:w="828" w:type="dxa"/>
          </w:tcPr>
          <w:p w14:paraId="2102257C" w14:textId="797D798C" w:rsidR="00541407" w:rsidRDefault="00541407">
            <w:r>
              <w:t>3.1</w:t>
            </w:r>
            <w:r w:rsidR="003B44E5">
              <w:t>5</w:t>
            </w:r>
          </w:p>
        </w:tc>
        <w:tc>
          <w:tcPr>
            <w:tcW w:w="9515" w:type="dxa"/>
          </w:tcPr>
          <w:p w14:paraId="1C2CE986" w14:textId="144B1869" w:rsidR="00541407" w:rsidRDefault="00541407" w:rsidP="00541407">
            <w:pPr>
              <w:widowControl/>
              <w:shd w:val="clear" w:color="auto" w:fill="FFFFFF"/>
              <w:rPr>
                <w:rFonts w:eastAsia="Times New Roman"/>
                <w:bCs/>
                <w:color w:val="222222"/>
                <w:lang w:val="en-GB"/>
              </w:rPr>
            </w:pPr>
            <w:r w:rsidRPr="0060326D">
              <w:rPr>
                <w:rFonts w:eastAsia="Times New Roman"/>
                <w:bCs/>
                <w:color w:val="222222"/>
                <w:lang w:val="en-GB"/>
              </w:rPr>
              <w:t>Ensure expenditure on pensions is appropriate and necessary with reference to legal obligations, affordability and in support of recruitment and retention (as advised by People Committee).</w:t>
            </w:r>
          </w:p>
          <w:p w14:paraId="2189EEFD" w14:textId="77777777" w:rsidR="00571320" w:rsidRPr="0060326D" w:rsidRDefault="00571320" w:rsidP="00541407">
            <w:pPr>
              <w:widowControl/>
              <w:shd w:val="clear" w:color="auto" w:fill="FFFFFF"/>
              <w:rPr>
                <w:rFonts w:eastAsia="Times New Roman"/>
                <w:color w:val="222222"/>
                <w:lang w:val="en-GB"/>
              </w:rPr>
            </w:pPr>
          </w:p>
          <w:p w14:paraId="6A64C6DC" w14:textId="77777777" w:rsidR="00541407" w:rsidRPr="0060326D" w:rsidRDefault="00541407" w:rsidP="001A7CA7">
            <w:pPr>
              <w:rPr>
                <w:shd w:val="clear" w:color="auto" w:fill="FFFFFF"/>
              </w:rPr>
            </w:pPr>
          </w:p>
        </w:tc>
      </w:tr>
      <w:tr w:rsidR="00571320" w14:paraId="1A20DAFC" w14:textId="77777777">
        <w:tc>
          <w:tcPr>
            <w:tcW w:w="828" w:type="dxa"/>
          </w:tcPr>
          <w:p w14:paraId="258831D1" w14:textId="2E6AFBB4" w:rsidR="00571320" w:rsidRDefault="00571320">
            <w:r>
              <w:lastRenderedPageBreak/>
              <w:t>3.16</w:t>
            </w:r>
          </w:p>
        </w:tc>
        <w:tc>
          <w:tcPr>
            <w:tcW w:w="9515" w:type="dxa"/>
          </w:tcPr>
          <w:p w14:paraId="33D2915C" w14:textId="71CC2C26" w:rsidR="00571320" w:rsidRPr="00571320" w:rsidRDefault="00571320" w:rsidP="00571320">
            <w:pPr>
              <w:rPr>
                <w:rFonts w:eastAsia="Times New Roman"/>
                <w:bCs/>
                <w:color w:val="222222"/>
                <w:lang w:val="en-GB"/>
              </w:rPr>
            </w:pPr>
            <w:r w:rsidRPr="00571320">
              <w:rPr>
                <w:rFonts w:eastAsia="Times New Roman"/>
                <w:bCs/>
                <w:color w:val="222222"/>
                <w:lang w:val="en-GB"/>
              </w:rPr>
              <w:t>To be responsible (including across all relevant sub-committees) for ensuring compliance with the University's free speech duties in all relevant decision making.</w:t>
            </w:r>
          </w:p>
          <w:p w14:paraId="74EBEE46" w14:textId="77777777" w:rsidR="00571320" w:rsidRPr="0060326D" w:rsidRDefault="00571320" w:rsidP="00541407">
            <w:pPr>
              <w:widowControl/>
              <w:shd w:val="clear" w:color="auto" w:fill="FFFFFF"/>
              <w:rPr>
                <w:rFonts w:eastAsia="Times New Roman"/>
                <w:bCs/>
                <w:color w:val="222222"/>
                <w:lang w:val="en-GB"/>
              </w:rPr>
            </w:pPr>
          </w:p>
        </w:tc>
      </w:tr>
      <w:tr w:rsidR="00D910E3" w14:paraId="4308B050" w14:textId="77777777">
        <w:tc>
          <w:tcPr>
            <w:tcW w:w="828" w:type="dxa"/>
          </w:tcPr>
          <w:p w14:paraId="57059524" w14:textId="77777777" w:rsidR="00D910E3" w:rsidRDefault="00D910E3"/>
        </w:tc>
        <w:tc>
          <w:tcPr>
            <w:tcW w:w="9515" w:type="dxa"/>
          </w:tcPr>
          <w:p w14:paraId="0C375D73" w14:textId="77777777" w:rsidR="00D910E3" w:rsidRDefault="00D910E3"/>
        </w:tc>
      </w:tr>
      <w:tr w:rsidR="00D910E3" w14:paraId="5E9BB5CD" w14:textId="77777777">
        <w:tc>
          <w:tcPr>
            <w:tcW w:w="828" w:type="dxa"/>
          </w:tcPr>
          <w:p w14:paraId="3F60B4FE" w14:textId="77777777" w:rsidR="00D910E3" w:rsidRDefault="00E72E10">
            <w:pPr>
              <w:rPr>
                <w:b/>
              </w:rPr>
            </w:pPr>
            <w:r>
              <w:rPr>
                <w:b/>
              </w:rPr>
              <w:t>4.</w:t>
            </w:r>
          </w:p>
        </w:tc>
        <w:tc>
          <w:tcPr>
            <w:tcW w:w="9515" w:type="dxa"/>
          </w:tcPr>
          <w:p w14:paraId="7C0C5C7F" w14:textId="77777777" w:rsidR="00D910E3" w:rsidRDefault="00E72E10">
            <w:pPr>
              <w:rPr>
                <w:b/>
              </w:rPr>
            </w:pPr>
            <w:r>
              <w:rPr>
                <w:b/>
              </w:rPr>
              <w:t>Authority</w:t>
            </w:r>
          </w:p>
          <w:p w14:paraId="01456761" w14:textId="77777777" w:rsidR="00D910E3" w:rsidRDefault="00D910E3"/>
        </w:tc>
      </w:tr>
      <w:tr w:rsidR="00D910E3" w14:paraId="3E764EBE" w14:textId="77777777">
        <w:tc>
          <w:tcPr>
            <w:tcW w:w="828" w:type="dxa"/>
          </w:tcPr>
          <w:p w14:paraId="169A50D8" w14:textId="77777777" w:rsidR="00D910E3" w:rsidRDefault="00E72E10">
            <w:r>
              <w:t>4.1</w:t>
            </w:r>
          </w:p>
        </w:tc>
        <w:tc>
          <w:tcPr>
            <w:tcW w:w="9515" w:type="dxa"/>
          </w:tcPr>
          <w:p w14:paraId="07D62C83" w14:textId="65010352" w:rsidR="00D910E3" w:rsidRPr="0060326D" w:rsidRDefault="00E72E10">
            <w:r>
              <w:t>The Committee is established by the Board of Governors to determine or advise on such matters relating to finance as the Board of Governors has remitted to the Committee.</w:t>
            </w:r>
          </w:p>
        </w:tc>
      </w:tr>
      <w:tr w:rsidR="00D910E3" w14:paraId="2EB04024" w14:textId="77777777">
        <w:tc>
          <w:tcPr>
            <w:tcW w:w="828" w:type="dxa"/>
          </w:tcPr>
          <w:p w14:paraId="5BB7AEDB" w14:textId="77777777" w:rsidR="00D910E3" w:rsidRDefault="00D910E3">
            <w:pPr>
              <w:rPr>
                <w:b/>
              </w:rPr>
            </w:pPr>
          </w:p>
        </w:tc>
        <w:tc>
          <w:tcPr>
            <w:tcW w:w="9515" w:type="dxa"/>
          </w:tcPr>
          <w:p w14:paraId="349762A6" w14:textId="77777777" w:rsidR="00340F3B" w:rsidRDefault="00340F3B">
            <w:pPr>
              <w:rPr>
                <w:b/>
              </w:rPr>
            </w:pPr>
          </w:p>
        </w:tc>
      </w:tr>
      <w:tr w:rsidR="00D910E3" w14:paraId="55834462" w14:textId="77777777">
        <w:tc>
          <w:tcPr>
            <w:tcW w:w="828" w:type="dxa"/>
          </w:tcPr>
          <w:p w14:paraId="3A9963A5" w14:textId="77777777" w:rsidR="00D910E3" w:rsidRDefault="00E72E10">
            <w:pPr>
              <w:rPr>
                <w:b/>
              </w:rPr>
            </w:pPr>
            <w:r>
              <w:rPr>
                <w:b/>
              </w:rPr>
              <w:t>5.</w:t>
            </w:r>
          </w:p>
        </w:tc>
        <w:tc>
          <w:tcPr>
            <w:tcW w:w="9515" w:type="dxa"/>
          </w:tcPr>
          <w:p w14:paraId="29907E1F" w14:textId="77777777" w:rsidR="00D910E3" w:rsidRDefault="00E72E10">
            <w:pPr>
              <w:rPr>
                <w:b/>
              </w:rPr>
            </w:pPr>
            <w:r>
              <w:rPr>
                <w:b/>
              </w:rPr>
              <w:t>Quoracy</w:t>
            </w:r>
          </w:p>
          <w:p w14:paraId="27432230" w14:textId="77777777" w:rsidR="00D910E3" w:rsidRDefault="00D910E3">
            <w:pPr>
              <w:rPr>
                <w:b/>
              </w:rPr>
            </w:pPr>
          </w:p>
        </w:tc>
      </w:tr>
      <w:tr w:rsidR="00D910E3" w14:paraId="64E83BAC" w14:textId="77777777">
        <w:tc>
          <w:tcPr>
            <w:tcW w:w="828" w:type="dxa"/>
          </w:tcPr>
          <w:p w14:paraId="27E33F3E" w14:textId="77777777" w:rsidR="00D910E3" w:rsidRDefault="00E72E10">
            <w:r>
              <w:t>5.1</w:t>
            </w:r>
          </w:p>
        </w:tc>
        <w:tc>
          <w:tcPr>
            <w:tcW w:w="9515" w:type="dxa"/>
          </w:tcPr>
          <w:p w14:paraId="53FDE69E" w14:textId="77777777" w:rsidR="00D910E3" w:rsidRPr="00170FBF" w:rsidRDefault="00E72E10">
            <w:pPr>
              <w:rPr>
                <w:b/>
              </w:rPr>
            </w:pPr>
            <w:r>
              <w:t>The quorum shall be 50%</w:t>
            </w:r>
            <w:r w:rsidR="00F02681">
              <w:t xml:space="preserve"> </w:t>
            </w:r>
            <w:r>
              <w:t>of the Committee’s membership,</w:t>
            </w:r>
            <w:r w:rsidR="00E17073" w:rsidRPr="00170FBF">
              <w:t xml:space="preserve"> of whom a majority are independent members.</w:t>
            </w:r>
            <w:r w:rsidRPr="00170FBF">
              <w:t xml:space="preserve">  If a meeting is not quorate, any decisions must be approved at the next quorate meeting before they may be implemented.</w:t>
            </w:r>
          </w:p>
          <w:p w14:paraId="4E8524F9" w14:textId="77777777" w:rsidR="004C030E" w:rsidRDefault="004C030E">
            <w:pPr>
              <w:rPr>
                <w:b/>
              </w:rPr>
            </w:pPr>
          </w:p>
        </w:tc>
      </w:tr>
      <w:tr w:rsidR="00D910E3" w14:paraId="13CA4BA4" w14:textId="77777777">
        <w:tc>
          <w:tcPr>
            <w:tcW w:w="828" w:type="dxa"/>
          </w:tcPr>
          <w:p w14:paraId="3C461FCF" w14:textId="77777777" w:rsidR="00D910E3" w:rsidRDefault="00E72E10">
            <w:r>
              <w:t>5.2</w:t>
            </w:r>
          </w:p>
          <w:p w14:paraId="693F185F" w14:textId="77777777" w:rsidR="00D910E3" w:rsidRDefault="00D910E3"/>
        </w:tc>
        <w:tc>
          <w:tcPr>
            <w:tcW w:w="9515" w:type="dxa"/>
          </w:tcPr>
          <w:p w14:paraId="3496DBFD" w14:textId="77777777" w:rsidR="00D910E3" w:rsidRDefault="00E72E10">
            <w:r>
              <w:t>The Committee shall use email circulation, telephone or video conferencing as appropriate to progress its business effectively.</w:t>
            </w:r>
          </w:p>
          <w:p w14:paraId="1A824CD5" w14:textId="77777777" w:rsidR="00D910E3" w:rsidRDefault="00D910E3"/>
        </w:tc>
      </w:tr>
      <w:tr w:rsidR="00D910E3" w14:paraId="6062A74C" w14:textId="77777777">
        <w:tc>
          <w:tcPr>
            <w:tcW w:w="828" w:type="dxa"/>
          </w:tcPr>
          <w:p w14:paraId="52C49843" w14:textId="77777777" w:rsidR="00D910E3" w:rsidRDefault="00E72E10">
            <w:pPr>
              <w:rPr>
                <w:b/>
              </w:rPr>
            </w:pPr>
            <w:r>
              <w:rPr>
                <w:b/>
              </w:rPr>
              <w:t>6.</w:t>
            </w:r>
          </w:p>
        </w:tc>
        <w:tc>
          <w:tcPr>
            <w:tcW w:w="9515" w:type="dxa"/>
          </w:tcPr>
          <w:p w14:paraId="5B121955" w14:textId="77777777" w:rsidR="00D910E3" w:rsidRDefault="00E72E10">
            <w:pPr>
              <w:spacing w:after="240"/>
              <w:rPr>
                <w:b/>
              </w:rPr>
            </w:pPr>
            <w:r>
              <w:rPr>
                <w:b/>
              </w:rPr>
              <w:t>Membership</w:t>
            </w:r>
          </w:p>
        </w:tc>
      </w:tr>
      <w:tr w:rsidR="00D910E3" w14:paraId="10DAFF30" w14:textId="77777777">
        <w:tc>
          <w:tcPr>
            <w:tcW w:w="828" w:type="dxa"/>
          </w:tcPr>
          <w:p w14:paraId="43B8EB25" w14:textId="77777777" w:rsidR="00D910E3" w:rsidRDefault="00D910E3">
            <w:pPr>
              <w:rPr>
                <w:b/>
              </w:rPr>
            </w:pPr>
          </w:p>
        </w:tc>
        <w:tc>
          <w:tcPr>
            <w:tcW w:w="9515" w:type="dxa"/>
          </w:tcPr>
          <w:p w14:paraId="2821D0CC" w14:textId="77777777" w:rsidR="00D910E3" w:rsidRDefault="00E72E10">
            <w:r>
              <w:t>The members of the Committee shall be drawn from the Board of Governors other than staff or student Governors.  At least one member should have recent and relevant experience in finance, accounting or auditing.</w:t>
            </w:r>
          </w:p>
          <w:p w14:paraId="3453DA3B" w14:textId="77777777" w:rsidR="00D910E3" w:rsidRDefault="00D910E3"/>
          <w:tbl>
            <w:tblPr>
              <w:tblStyle w:val="a0"/>
              <w:tblW w:w="9129" w:type="dxa"/>
              <w:tblBorders>
                <w:top w:val="nil"/>
                <w:left w:val="nil"/>
                <w:bottom w:val="nil"/>
                <w:right w:val="nil"/>
                <w:insideH w:val="nil"/>
                <w:insideV w:val="nil"/>
              </w:tblBorders>
              <w:tblLayout w:type="fixed"/>
              <w:tblLook w:val="0400" w:firstRow="0" w:lastRow="0" w:firstColumn="0" w:lastColumn="0" w:noHBand="0" w:noVBand="1"/>
            </w:tblPr>
            <w:tblGrid>
              <w:gridCol w:w="588"/>
              <w:gridCol w:w="3721"/>
              <w:gridCol w:w="2617"/>
              <w:gridCol w:w="2203"/>
            </w:tblGrid>
            <w:tr w:rsidR="00D910E3" w14:paraId="2A8B0D13" w14:textId="77777777" w:rsidTr="00344C09">
              <w:tc>
                <w:tcPr>
                  <w:tcW w:w="588" w:type="dxa"/>
                </w:tcPr>
                <w:p w14:paraId="0FE7E526" w14:textId="77777777" w:rsidR="00D910E3" w:rsidRDefault="00D910E3"/>
              </w:tc>
              <w:tc>
                <w:tcPr>
                  <w:tcW w:w="3721" w:type="dxa"/>
                </w:tcPr>
                <w:p w14:paraId="4E4EA2DE" w14:textId="77777777" w:rsidR="00D910E3" w:rsidRDefault="00E72E10">
                  <w:r>
                    <w:rPr>
                      <w:b/>
                    </w:rPr>
                    <w:t>Category</w:t>
                  </w:r>
                </w:p>
              </w:tc>
              <w:tc>
                <w:tcPr>
                  <w:tcW w:w="2617" w:type="dxa"/>
                </w:tcPr>
                <w:p w14:paraId="39CB041A" w14:textId="77777777" w:rsidR="00D910E3" w:rsidRDefault="00E72E10">
                  <w:r>
                    <w:rPr>
                      <w:b/>
                    </w:rPr>
                    <w:t>Name</w:t>
                  </w:r>
                </w:p>
              </w:tc>
              <w:tc>
                <w:tcPr>
                  <w:tcW w:w="2203" w:type="dxa"/>
                </w:tcPr>
                <w:p w14:paraId="3C693109" w14:textId="77777777" w:rsidR="00D910E3" w:rsidRDefault="00E72E10">
                  <w:r>
                    <w:rPr>
                      <w:b/>
                    </w:rPr>
                    <w:t xml:space="preserve">Date appointed </w:t>
                  </w:r>
                  <w:r>
                    <w:t>*</w:t>
                  </w:r>
                  <w:r>
                    <w:rPr>
                      <w:b/>
                    </w:rPr>
                    <w:br/>
                  </w:r>
                </w:p>
              </w:tc>
            </w:tr>
            <w:tr w:rsidR="00D910E3" w14:paraId="52811E26" w14:textId="77777777" w:rsidTr="00344C09">
              <w:tc>
                <w:tcPr>
                  <w:tcW w:w="588" w:type="dxa"/>
                </w:tcPr>
                <w:p w14:paraId="33814D79" w14:textId="77777777" w:rsidR="00D910E3" w:rsidRDefault="00E72E10">
                  <w:r>
                    <w:t>1</w:t>
                  </w:r>
                </w:p>
              </w:tc>
              <w:tc>
                <w:tcPr>
                  <w:tcW w:w="3721" w:type="dxa"/>
                </w:tcPr>
                <w:p w14:paraId="0285DDF2" w14:textId="77777777" w:rsidR="00D910E3" w:rsidRDefault="00E72E10">
                  <w:r>
                    <w:t>Chair: Independent Governor</w:t>
                  </w:r>
                </w:p>
                <w:p w14:paraId="64A04F39" w14:textId="77777777" w:rsidR="00D910E3" w:rsidRDefault="00D910E3"/>
              </w:tc>
              <w:tc>
                <w:tcPr>
                  <w:tcW w:w="2617" w:type="dxa"/>
                </w:tcPr>
                <w:p w14:paraId="750C3465" w14:textId="52D440B5" w:rsidR="00340F3B" w:rsidRPr="00170FBF" w:rsidRDefault="0035074E">
                  <w:r w:rsidRPr="00170FBF">
                    <w:t xml:space="preserve">Rex Knight </w:t>
                  </w:r>
                </w:p>
              </w:tc>
              <w:tc>
                <w:tcPr>
                  <w:tcW w:w="2203" w:type="dxa"/>
                </w:tcPr>
                <w:p w14:paraId="7042ECBE" w14:textId="43F0E70C" w:rsidR="00D910E3" w:rsidRDefault="00E415B7">
                  <w:r w:rsidRPr="00E415B7">
                    <w:t>May 2024 (1)</w:t>
                  </w:r>
                </w:p>
              </w:tc>
            </w:tr>
            <w:tr w:rsidR="00D910E3" w14:paraId="112F2528" w14:textId="77777777" w:rsidTr="00344C09">
              <w:tc>
                <w:tcPr>
                  <w:tcW w:w="588" w:type="dxa"/>
                </w:tcPr>
                <w:p w14:paraId="3E6E6BA6" w14:textId="77777777" w:rsidR="00D910E3" w:rsidRDefault="00795423">
                  <w:r>
                    <w:t>2</w:t>
                  </w:r>
                </w:p>
                <w:p w14:paraId="2D24A2F6" w14:textId="77777777" w:rsidR="00D910E3" w:rsidRDefault="00D910E3"/>
              </w:tc>
              <w:tc>
                <w:tcPr>
                  <w:tcW w:w="3721" w:type="dxa"/>
                </w:tcPr>
                <w:p w14:paraId="718C812B" w14:textId="77777777" w:rsidR="00D910E3" w:rsidRPr="0035074E" w:rsidRDefault="00DE7A50">
                  <w:r w:rsidRPr="0035074E">
                    <w:t>Ex-Officio</w:t>
                  </w:r>
                </w:p>
                <w:p w14:paraId="36444B9A" w14:textId="77777777" w:rsidR="00D910E3" w:rsidRPr="00340F3B" w:rsidRDefault="00D910E3">
                  <w:pPr>
                    <w:rPr>
                      <w:strike/>
                    </w:rPr>
                  </w:pPr>
                </w:p>
              </w:tc>
              <w:tc>
                <w:tcPr>
                  <w:tcW w:w="2617" w:type="dxa"/>
                </w:tcPr>
                <w:p w14:paraId="75152BE2" w14:textId="1D4A8F78" w:rsidR="00D910E3" w:rsidRPr="00170FBF" w:rsidRDefault="0035074E">
                  <w:r w:rsidRPr="00170FBF">
                    <w:t>John Zealley</w:t>
                  </w:r>
                </w:p>
              </w:tc>
              <w:tc>
                <w:tcPr>
                  <w:tcW w:w="2203" w:type="dxa"/>
                </w:tcPr>
                <w:p w14:paraId="48416E3E" w14:textId="695610DF" w:rsidR="00D910E3" w:rsidRPr="00E415B7" w:rsidRDefault="00E415B7">
                  <w:r>
                    <w:t>July 2024 (1)</w:t>
                  </w:r>
                </w:p>
              </w:tc>
            </w:tr>
            <w:tr w:rsidR="00D910E3" w14:paraId="28D54192" w14:textId="77777777" w:rsidTr="00344C09">
              <w:tc>
                <w:tcPr>
                  <w:tcW w:w="588" w:type="dxa"/>
                </w:tcPr>
                <w:p w14:paraId="58B120D5" w14:textId="77777777" w:rsidR="00D910E3" w:rsidRDefault="00795423">
                  <w:r>
                    <w:t>3</w:t>
                  </w:r>
                </w:p>
              </w:tc>
              <w:tc>
                <w:tcPr>
                  <w:tcW w:w="3721" w:type="dxa"/>
                </w:tcPr>
                <w:p w14:paraId="1E457927" w14:textId="77777777" w:rsidR="00D910E3" w:rsidRDefault="00E72E10">
                  <w:r>
                    <w:t>Independent Governor</w:t>
                  </w:r>
                </w:p>
                <w:p w14:paraId="6A45849D" w14:textId="77777777" w:rsidR="00D910E3" w:rsidRDefault="00D910E3"/>
              </w:tc>
              <w:tc>
                <w:tcPr>
                  <w:tcW w:w="2617" w:type="dxa"/>
                </w:tcPr>
                <w:p w14:paraId="07FD64C3" w14:textId="48C7D898" w:rsidR="00D910E3" w:rsidRPr="00170FBF" w:rsidRDefault="00987DAC">
                  <w:r>
                    <w:t>Paul Feldman</w:t>
                  </w:r>
                </w:p>
              </w:tc>
              <w:tc>
                <w:tcPr>
                  <w:tcW w:w="2203" w:type="dxa"/>
                </w:tcPr>
                <w:p w14:paraId="1F0F4BA2" w14:textId="4DED1E06" w:rsidR="00D910E3" w:rsidRDefault="008A0DAD">
                  <w:r>
                    <w:t>July 2021 (2)</w:t>
                  </w:r>
                </w:p>
              </w:tc>
            </w:tr>
            <w:tr w:rsidR="00D910E3" w14:paraId="02C87271" w14:textId="77777777" w:rsidTr="00344C09">
              <w:tc>
                <w:tcPr>
                  <w:tcW w:w="588" w:type="dxa"/>
                </w:tcPr>
                <w:p w14:paraId="18414EF7" w14:textId="7883A3C5" w:rsidR="00D910E3" w:rsidRDefault="0060326D">
                  <w:r>
                    <w:t>4</w:t>
                  </w:r>
                  <w:r w:rsidR="0035074E">
                    <w:t>.</w:t>
                  </w:r>
                </w:p>
              </w:tc>
              <w:tc>
                <w:tcPr>
                  <w:tcW w:w="3721" w:type="dxa"/>
                </w:tcPr>
                <w:p w14:paraId="1C7F13CD" w14:textId="77777777" w:rsidR="00D910E3" w:rsidRDefault="00E72E10">
                  <w:r>
                    <w:t>Independent Governor</w:t>
                  </w:r>
                </w:p>
                <w:p w14:paraId="5227708B" w14:textId="77777777" w:rsidR="00D910E3" w:rsidRDefault="00D910E3"/>
              </w:tc>
              <w:tc>
                <w:tcPr>
                  <w:tcW w:w="2617" w:type="dxa"/>
                </w:tcPr>
                <w:p w14:paraId="4E1572DD" w14:textId="77777777" w:rsidR="00D910E3" w:rsidRDefault="00E72E10">
                  <w:r>
                    <w:t xml:space="preserve">Anup </w:t>
                  </w:r>
                  <w:proofErr w:type="spellStart"/>
                  <w:r>
                    <w:t>Mysoor</w:t>
                  </w:r>
                  <w:proofErr w:type="spellEnd"/>
                </w:p>
              </w:tc>
              <w:tc>
                <w:tcPr>
                  <w:tcW w:w="2203" w:type="dxa"/>
                </w:tcPr>
                <w:p w14:paraId="27E4777B" w14:textId="2483BA1C" w:rsidR="00D910E3" w:rsidRDefault="00E415B7">
                  <w:r>
                    <w:t>January 2024 (1)</w:t>
                  </w:r>
                </w:p>
              </w:tc>
            </w:tr>
            <w:tr w:rsidR="00D910E3" w14:paraId="4EEBCB70" w14:textId="77777777" w:rsidTr="00344C09">
              <w:tc>
                <w:tcPr>
                  <w:tcW w:w="588" w:type="dxa"/>
                </w:tcPr>
                <w:p w14:paraId="5EDB1AD6" w14:textId="3323F94D" w:rsidR="00D910E3" w:rsidRDefault="0060326D">
                  <w:r>
                    <w:t>5</w:t>
                  </w:r>
                  <w:r w:rsidR="0035074E">
                    <w:t>.</w:t>
                  </w:r>
                </w:p>
                <w:p w14:paraId="16A17005" w14:textId="77777777" w:rsidR="00D910E3" w:rsidRDefault="00D910E3"/>
              </w:tc>
              <w:tc>
                <w:tcPr>
                  <w:tcW w:w="3721" w:type="dxa"/>
                </w:tcPr>
                <w:p w14:paraId="4A5325FD" w14:textId="77777777" w:rsidR="00D910E3" w:rsidRDefault="00E72E10">
                  <w:r>
                    <w:t>Independent Governor</w:t>
                  </w:r>
                </w:p>
              </w:tc>
              <w:tc>
                <w:tcPr>
                  <w:tcW w:w="2617" w:type="dxa"/>
                </w:tcPr>
                <w:p w14:paraId="72E54142" w14:textId="77777777" w:rsidR="00D910E3" w:rsidRDefault="00E72E10">
                  <w:r>
                    <w:t>Simon Mumford</w:t>
                  </w:r>
                </w:p>
              </w:tc>
              <w:tc>
                <w:tcPr>
                  <w:tcW w:w="2203" w:type="dxa"/>
                </w:tcPr>
                <w:p w14:paraId="600585D3" w14:textId="5EB9E781" w:rsidR="00D910E3" w:rsidRDefault="00E72E10">
                  <w:r>
                    <w:t>October 2019 (</w:t>
                  </w:r>
                  <w:r w:rsidR="00B05F79">
                    <w:t>2</w:t>
                  </w:r>
                  <w:r>
                    <w:t>)</w:t>
                  </w:r>
                </w:p>
              </w:tc>
            </w:tr>
            <w:tr w:rsidR="00987DAC" w14:paraId="13783923" w14:textId="77777777" w:rsidTr="00344C09">
              <w:tc>
                <w:tcPr>
                  <w:tcW w:w="588" w:type="dxa"/>
                </w:tcPr>
                <w:p w14:paraId="67DB7286" w14:textId="77777777" w:rsidR="00987DAC" w:rsidRDefault="00987DAC">
                  <w:r>
                    <w:t>6.</w:t>
                  </w:r>
                </w:p>
                <w:p w14:paraId="5CFB0DAC" w14:textId="2E7D2346" w:rsidR="00987DAC" w:rsidRDefault="00987DAC"/>
              </w:tc>
              <w:tc>
                <w:tcPr>
                  <w:tcW w:w="3721" w:type="dxa"/>
                </w:tcPr>
                <w:p w14:paraId="264861CB" w14:textId="6AA1BE1F" w:rsidR="00987DAC" w:rsidRDefault="00987DAC">
                  <w:r>
                    <w:t>Independent Governor</w:t>
                  </w:r>
                </w:p>
              </w:tc>
              <w:tc>
                <w:tcPr>
                  <w:tcW w:w="2617" w:type="dxa"/>
                </w:tcPr>
                <w:p w14:paraId="41DC6836" w14:textId="3145A0DC" w:rsidR="00987DAC" w:rsidRDefault="00987DAC">
                  <w:r>
                    <w:t>Hannah Mills</w:t>
                  </w:r>
                </w:p>
              </w:tc>
              <w:tc>
                <w:tcPr>
                  <w:tcW w:w="2203" w:type="dxa"/>
                </w:tcPr>
                <w:p w14:paraId="3F96B3B0" w14:textId="568B7347" w:rsidR="00987DAC" w:rsidRDefault="00987DAC">
                  <w:r>
                    <w:t>May 2025 (1)</w:t>
                  </w:r>
                </w:p>
              </w:tc>
            </w:tr>
            <w:tr w:rsidR="001376DE" w14:paraId="41A33E90" w14:textId="77777777" w:rsidTr="00344C09">
              <w:tc>
                <w:tcPr>
                  <w:tcW w:w="588" w:type="dxa"/>
                </w:tcPr>
                <w:p w14:paraId="416B906C" w14:textId="78517BEC" w:rsidR="001376DE" w:rsidRDefault="00987DAC" w:rsidP="001376DE">
                  <w:r>
                    <w:t>7</w:t>
                  </w:r>
                  <w:r w:rsidR="00D15664">
                    <w:t>.</w:t>
                  </w:r>
                </w:p>
              </w:tc>
              <w:tc>
                <w:tcPr>
                  <w:tcW w:w="3721" w:type="dxa"/>
                </w:tcPr>
                <w:p w14:paraId="56905314" w14:textId="77777777" w:rsidR="001376DE" w:rsidRPr="0030019E" w:rsidRDefault="001376DE" w:rsidP="001376DE">
                  <w:r w:rsidRPr="0030019E">
                    <w:t>Co-opted member</w:t>
                  </w:r>
                </w:p>
                <w:p w14:paraId="79D009EB" w14:textId="77777777" w:rsidR="001376DE" w:rsidRPr="0030019E" w:rsidRDefault="001376DE" w:rsidP="001376DE"/>
              </w:tc>
              <w:tc>
                <w:tcPr>
                  <w:tcW w:w="2617" w:type="dxa"/>
                </w:tcPr>
                <w:p w14:paraId="3D196C8A" w14:textId="77777777" w:rsidR="001376DE" w:rsidRPr="0030019E" w:rsidRDefault="001376DE" w:rsidP="001376DE">
                  <w:r w:rsidRPr="0030019E">
                    <w:t>William Donger</w:t>
                  </w:r>
                </w:p>
              </w:tc>
              <w:tc>
                <w:tcPr>
                  <w:tcW w:w="2203" w:type="dxa"/>
                </w:tcPr>
                <w:p w14:paraId="1365C0D4" w14:textId="77777777" w:rsidR="001376DE" w:rsidRPr="0030019E" w:rsidRDefault="001376DE" w:rsidP="001376DE">
                  <w:r w:rsidRPr="0030019E">
                    <w:t>September 2022</w:t>
                  </w:r>
                </w:p>
              </w:tc>
            </w:tr>
            <w:tr w:rsidR="00D910E3" w14:paraId="4AF2F513" w14:textId="77777777" w:rsidTr="00344C09">
              <w:tc>
                <w:tcPr>
                  <w:tcW w:w="588" w:type="dxa"/>
                </w:tcPr>
                <w:p w14:paraId="2EA3E0F9" w14:textId="77777777" w:rsidR="00D910E3" w:rsidRDefault="00D910E3"/>
              </w:tc>
              <w:tc>
                <w:tcPr>
                  <w:tcW w:w="3721" w:type="dxa"/>
                </w:tcPr>
                <w:p w14:paraId="5FFA6EF2" w14:textId="77777777" w:rsidR="00D910E3" w:rsidRPr="0030019E" w:rsidRDefault="00D910E3"/>
              </w:tc>
              <w:tc>
                <w:tcPr>
                  <w:tcW w:w="2617" w:type="dxa"/>
                </w:tcPr>
                <w:p w14:paraId="257F267D" w14:textId="77777777" w:rsidR="00D910E3" w:rsidRPr="0030019E" w:rsidRDefault="00D910E3"/>
              </w:tc>
              <w:tc>
                <w:tcPr>
                  <w:tcW w:w="2203" w:type="dxa"/>
                </w:tcPr>
                <w:p w14:paraId="19F44475" w14:textId="77777777" w:rsidR="00D910E3" w:rsidRPr="0030019E" w:rsidRDefault="00D910E3"/>
              </w:tc>
            </w:tr>
            <w:tr w:rsidR="00D910E3" w14:paraId="3B443A04" w14:textId="77777777" w:rsidTr="00344C09">
              <w:tc>
                <w:tcPr>
                  <w:tcW w:w="588" w:type="dxa"/>
                </w:tcPr>
                <w:p w14:paraId="65B0B90F" w14:textId="77777777" w:rsidR="00D910E3" w:rsidRDefault="00D910E3"/>
              </w:tc>
              <w:tc>
                <w:tcPr>
                  <w:tcW w:w="3721" w:type="dxa"/>
                </w:tcPr>
                <w:p w14:paraId="47B86883" w14:textId="77777777" w:rsidR="00D910E3" w:rsidRDefault="00E72E10">
                  <w:r>
                    <w:t>In attendance:</w:t>
                  </w:r>
                </w:p>
              </w:tc>
              <w:tc>
                <w:tcPr>
                  <w:tcW w:w="2617" w:type="dxa"/>
                </w:tcPr>
                <w:p w14:paraId="088E514B" w14:textId="77777777" w:rsidR="00D910E3" w:rsidRDefault="00D910E3"/>
              </w:tc>
              <w:tc>
                <w:tcPr>
                  <w:tcW w:w="2203" w:type="dxa"/>
                </w:tcPr>
                <w:p w14:paraId="56D16CB5" w14:textId="77777777" w:rsidR="00D910E3" w:rsidRDefault="00D910E3"/>
              </w:tc>
            </w:tr>
            <w:tr w:rsidR="00D910E3" w14:paraId="07BE9E35" w14:textId="77777777" w:rsidTr="00344C09">
              <w:tc>
                <w:tcPr>
                  <w:tcW w:w="588" w:type="dxa"/>
                </w:tcPr>
                <w:p w14:paraId="43727243" w14:textId="77777777" w:rsidR="00D910E3" w:rsidRDefault="00D910E3"/>
              </w:tc>
              <w:tc>
                <w:tcPr>
                  <w:tcW w:w="3721" w:type="dxa"/>
                </w:tcPr>
                <w:p w14:paraId="189640C5" w14:textId="77777777" w:rsidR="00D910E3" w:rsidRDefault="00D910E3"/>
              </w:tc>
              <w:tc>
                <w:tcPr>
                  <w:tcW w:w="2617" w:type="dxa"/>
                </w:tcPr>
                <w:p w14:paraId="573F8388" w14:textId="77777777" w:rsidR="00D910E3" w:rsidRDefault="00D910E3"/>
              </w:tc>
              <w:tc>
                <w:tcPr>
                  <w:tcW w:w="2203" w:type="dxa"/>
                </w:tcPr>
                <w:p w14:paraId="3AA5DA90" w14:textId="77777777" w:rsidR="00D910E3" w:rsidRDefault="00D910E3"/>
              </w:tc>
            </w:tr>
            <w:tr w:rsidR="00D910E3" w14:paraId="17B7D80B" w14:textId="77777777" w:rsidTr="00344C09">
              <w:tc>
                <w:tcPr>
                  <w:tcW w:w="588" w:type="dxa"/>
                </w:tcPr>
                <w:p w14:paraId="36C80D34" w14:textId="23B10BC0" w:rsidR="00D910E3" w:rsidRDefault="00987DAC">
                  <w:r>
                    <w:t>8</w:t>
                  </w:r>
                  <w:r w:rsidR="007D633A">
                    <w:t>.</w:t>
                  </w:r>
                </w:p>
              </w:tc>
              <w:tc>
                <w:tcPr>
                  <w:tcW w:w="3721" w:type="dxa"/>
                </w:tcPr>
                <w:p w14:paraId="33AF5557" w14:textId="77777777" w:rsidR="00D910E3" w:rsidRDefault="00E72E10">
                  <w:r>
                    <w:t>Vice-Chancellor</w:t>
                  </w:r>
                </w:p>
                <w:p w14:paraId="6869AF16" w14:textId="77777777" w:rsidR="00D910E3" w:rsidRDefault="00D910E3"/>
              </w:tc>
              <w:tc>
                <w:tcPr>
                  <w:tcW w:w="2617" w:type="dxa"/>
                </w:tcPr>
                <w:p w14:paraId="396EDFF2" w14:textId="05EF2729" w:rsidR="00D910E3" w:rsidRDefault="00344C09">
                  <w:r>
                    <w:t>Professor Helen Laville</w:t>
                  </w:r>
                </w:p>
              </w:tc>
              <w:tc>
                <w:tcPr>
                  <w:tcW w:w="2203" w:type="dxa"/>
                </w:tcPr>
                <w:p w14:paraId="6D92118A" w14:textId="77777777" w:rsidR="00D910E3" w:rsidRDefault="00E72E10">
                  <w:r>
                    <w:t>Ex officio</w:t>
                  </w:r>
                </w:p>
              </w:tc>
            </w:tr>
            <w:tr w:rsidR="00D910E3" w14:paraId="39F18C57" w14:textId="77777777" w:rsidTr="00344C09">
              <w:tc>
                <w:tcPr>
                  <w:tcW w:w="588" w:type="dxa"/>
                </w:tcPr>
                <w:p w14:paraId="02E7C9AF" w14:textId="133703FC" w:rsidR="00D910E3" w:rsidRDefault="00987DAC">
                  <w:r>
                    <w:t>9</w:t>
                  </w:r>
                  <w:r w:rsidR="007D633A">
                    <w:t>.</w:t>
                  </w:r>
                </w:p>
              </w:tc>
              <w:tc>
                <w:tcPr>
                  <w:tcW w:w="3721" w:type="dxa"/>
                </w:tcPr>
                <w:p w14:paraId="1130EE15" w14:textId="77777777" w:rsidR="00D910E3" w:rsidRDefault="00E72E10">
                  <w:r>
                    <w:t>Registrar and Chief Operating Officer</w:t>
                  </w:r>
                </w:p>
                <w:p w14:paraId="1D2A5541" w14:textId="77777777" w:rsidR="00D910E3" w:rsidRDefault="00D910E3"/>
              </w:tc>
              <w:tc>
                <w:tcPr>
                  <w:tcW w:w="2617" w:type="dxa"/>
                </w:tcPr>
                <w:p w14:paraId="7C155CE0" w14:textId="77777777" w:rsidR="00D910E3" w:rsidRDefault="00E72E10">
                  <w:r>
                    <w:t>Brendan Casey</w:t>
                  </w:r>
                </w:p>
              </w:tc>
              <w:tc>
                <w:tcPr>
                  <w:tcW w:w="2203" w:type="dxa"/>
                </w:tcPr>
                <w:p w14:paraId="5A98FB67" w14:textId="77777777" w:rsidR="00D910E3" w:rsidRDefault="00E72E10">
                  <w:r>
                    <w:t>Ex officio</w:t>
                  </w:r>
                </w:p>
              </w:tc>
            </w:tr>
            <w:tr w:rsidR="00D910E3" w14:paraId="30918C85" w14:textId="77777777" w:rsidTr="00344C09">
              <w:tc>
                <w:tcPr>
                  <w:tcW w:w="588" w:type="dxa"/>
                </w:tcPr>
                <w:p w14:paraId="02A1AAFE" w14:textId="66B2E0F6" w:rsidR="00D910E3" w:rsidRDefault="00987DAC">
                  <w:r>
                    <w:t>10</w:t>
                  </w:r>
                  <w:r w:rsidR="007D633A">
                    <w:t>.</w:t>
                  </w:r>
                </w:p>
              </w:tc>
              <w:tc>
                <w:tcPr>
                  <w:tcW w:w="3721" w:type="dxa"/>
                </w:tcPr>
                <w:p w14:paraId="0F298D65" w14:textId="11C06D8E" w:rsidR="00D910E3" w:rsidRDefault="00987DAC">
                  <w:r>
                    <w:t xml:space="preserve">Interim </w:t>
                  </w:r>
                  <w:r w:rsidR="00135E65">
                    <w:t>Chief Financial Officer</w:t>
                  </w:r>
                </w:p>
                <w:p w14:paraId="48221B3C" w14:textId="77777777" w:rsidR="00D910E3" w:rsidRDefault="00D910E3"/>
              </w:tc>
              <w:tc>
                <w:tcPr>
                  <w:tcW w:w="2617" w:type="dxa"/>
                </w:tcPr>
                <w:p w14:paraId="5F7B9879" w14:textId="5D1F4AD2" w:rsidR="00D910E3" w:rsidRDefault="00987DAC">
                  <w:r>
                    <w:t>Olu Mohammed</w:t>
                  </w:r>
                </w:p>
              </w:tc>
              <w:tc>
                <w:tcPr>
                  <w:tcW w:w="2203" w:type="dxa"/>
                </w:tcPr>
                <w:p w14:paraId="23954555" w14:textId="77777777" w:rsidR="00D910E3" w:rsidRDefault="00E72E10">
                  <w:r>
                    <w:t>Ex officio</w:t>
                  </w:r>
                </w:p>
              </w:tc>
            </w:tr>
            <w:tr w:rsidR="00D910E3" w14:paraId="7E7D7125" w14:textId="77777777" w:rsidTr="00344C09">
              <w:tc>
                <w:tcPr>
                  <w:tcW w:w="588" w:type="dxa"/>
                </w:tcPr>
                <w:p w14:paraId="5AC89E76" w14:textId="34B79D86" w:rsidR="00D910E3" w:rsidRDefault="00795423">
                  <w:r>
                    <w:t>1</w:t>
                  </w:r>
                  <w:r w:rsidR="00987DAC">
                    <w:t>1</w:t>
                  </w:r>
                  <w:r w:rsidR="007D633A">
                    <w:t>.</w:t>
                  </w:r>
                </w:p>
              </w:tc>
              <w:tc>
                <w:tcPr>
                  <w:tcW w:w="3721" w:type="dxa"/>
                </w:tcPr>
                <w:p w14:paraId="5D73EE08" w14:textId="77777777" w:rsidR="00D910E3" w:rsidRDefault="00E72E10">
                  <w:r>
                    <w:t>Director of Estates and Campus Services</w:t>
                  </w:r>
                </w:p>
                <w:p w14:paraId="40047E24" w14:textId="77777777" w:rsidR="00D910E3" w:rsidRDefault="00D910E3"/>
                <w:p w14:paraId="3ADF7092" w14:textId="77777777" w:rsidR="00571320" w:rsidRDefault="00571320"/>
                <w:p w14:paraId="437F8897" w14:textId="77777777" w:rsidR="00571320" w:rsidRDefault="00571320"/>
              </w:tc>
              <w:tc>
                <w:tcPr>
                  <w:tcW w:w="2617" w:type="dxa"/>
                </w:tcPr>
                <w:p w14:paraId="0EA7E0F9" w14:textId="77777777" w:rsidR="00D910E3" w:rsidRDefault="00E72E10">
                  <w:r>
                    <w:t>Jerry Woods</w:t>
                  </w:r>
                </w:p>
              </w:tc>
              <w:tc>
                <w:tcPr>
                  <w:tcW w:w="2203" w:type="dxa"/>
                </w:tcPr>
                <w:p w14:paraId="596E7B4F" w14:textId="77777777" w:rsidR="00D910E3" w:rsidRDefault="00E72E10">
                  <w:r>
                    <w:t>Ex officio</w:t>
                  </w:r>
                </w:p>
              </w:tc>
            </w:tr>
            <w:tr w:rsidR="00D910E3" w14:paraId="01139844" w14:textId="77777777" w:rsidTr="00344C09">
              <w:tc>
                <w:tcPr>
                  <w:tcW w:w="588" w:type="dxa"/>
                </w:tcPr>
                <w:p w14:paraId="2D6A846A" w14:textId="6C931C9C" w:rsidR="00D910E3" w:rsidRDefault="00F02681">
                  <w:r>
                    <w:lastRenderedPageBreak/>
                    <w:t>1</w:t>
                  </w:r>
                  <w:r w:rsidR="00987DAC">
                    <w:t>2</w:t>
                  </w:r>
                  <w:r w:rsidR="007D633A">
                    <w:t>.</w:t>
                  </w:r>
                </w:p>
              </w:tc>
              <w:tc>
                <w:tcPr>
                  <w:tcW w:w="3721" w:type="dxa"/>
                </w:tcPr>
                <w:p w14:paraId="6A66A69B" w14:textId="77777777" w:rsidR="00D910E3" w:rsidRDefault="00E72E10">
                  <w:r>
                    <w:t>Chief Information Officer</w:t>
                  </w:r>
                </w:p>
                <w:p w14:paraId="7F1268D0" w14:textId="77777777" w:rsidR="00135E65" w:rsidRDefault="00135E65"/>
              </w:tc>
              <w:tc>
                <w:tcPr>
                  <w:tcW w:w="2617" w:type="dxa"/>
                </w:tcPr>
                <w:p w14:paraId="004BF1F9" w14:textId="77777777" w:rsidR="00D910E3" w:rsidRDefault="00E72E10">
                  <w:r>
                    <w:t>Seamus Shaw</w:t>
                  </w:r>
                </w:p>
              </w:tc>
              <w:tc>
                <w:tcPr>
                  <w:tcW w:w="2203" w:type="dxa"/>
                </w:tcPr>
                <w:p w14:paraId="7C8E7B0D" w14:textId="77777777" w:rsidR="00D910E3" w:rsidRDefault="00E72E10">
                  <w:r>
                    <w:t>Ex officio</w:t>
                  </w:r>
                </w:p>
              </w:tc>
            </w:tr>
            <w:tr w:rsidR="00D910E3" w14:paraId="7648B1AC" w14:textId="77777777" w:rsidTr="00344C09">
              <w:tc>
                <w:tcPr>
                  <w:tcW w:w="588" w:type="dxa"/>
                </w:tcPr>
                <w:p w14:paraId="67C511D6" w14:textId="77777777" w:rsidR="00D910E3" w:rsidRDefault="00D910E3"/>
              </w:tc>
              <w:tc>
                <w:tcPr>
                  <w:tcW w:w="3721" w:type="dxa"/>
                </w:tcPr>
                <w:p w14:paraId="0E4A343C" w14:textId="77777777" w:rsidR="00D910E3" w:rsidRDefault="00E72E10">
                  <w:r>
                    <w:t>Secretary</w:t>
                  </w:r>
                </w:p>
              </w:tc>
              <w:tc>
                <w:tcPr>
                  <w:tcW w:w="2617" w:type="dxa"/>
                </w:tcPr>
                <w:p w14:paraId="4FC2998B" w14:textId="77777777" w:rsidR="00D910E3" w:rsidRDefault="00D910E3"/>
              </w:tc>
              <w:tc>
                <w:tcPr>
                  <w:tcW w:w="2203" w:type="dxa"/>
                </w:tcPr>
                <w:p w14:paraId="778948BA" w14:textId="77777777" w:rsidR="00D910E3" w:rsidRDefault="00D910E3"/>
                <w:p w14:paraId="68B8029A" w14:textId="77777777" w:rsidR="00D910E3" w:rsidRDefault="00D910E3"/>
              </w:tc>
            </w:tr>
            <w:tr w:rsidR="00D910E3" w14:paraId="1CA07E01" w14:textId="77777777" w:rsidTr="00344C09">
              <w:trPr>
                <w:trHeight w:val="357"/>
              </w:trPr>
              <w:tc>
                <w:tcPr>
                  <w:tcW w:w="588" w:type="dxa"/>
                </w:tcPr>
                <w:p w14:paraId="5DD50A9E" w14:textId="1C599B7C" w:rsidR="00D910E3" w:rsidRDefault="00F02681">
                  <w:r>
                    <w:t>1</w:t>
                  </w:r>
                  <w:r w:rsidR="00987DAC">
                    <w:t>3</w:t>
                  </w:r>
                  <w:r w:rsidR="007D633A">
                    <w:t>.</w:t>
                  </w:r>
                </w:p>
              </w:tc>
              <w:tc>
                <w:tcPr>
                  <w:tcW w:w="3721" w:type="dxa"/>
                </w:tcPr>
                <w:p w14:paraId="51054868" w14:textId="77777777" w:rsidR="00D910E3" w:rsidRDefault="00E72E10">
                  <w:r>
                    <w:t>Head of Secretariat</w:t>
                  </w:r>
                </w:p>
              </w:tc>
              <w:tc>
                <w:tcPr>
                  <w:tcW w:w="2617" w:type="dxa"/>
                </w:tcPr>
                <w:p w14:paraId="52B7A508" w14:textId="77777777" w:rsidR="00D910E3" w:rsidRDefault="00E72E10">
                  <w:r>
                    <w:t>Maria Crawford</w:t>
                  </w:r>
                </w:p>
              </w:tc>
              <w:tc>
                <w:tcPr>
                  <w:tcW w:w="2203" w:type="dxa"/>
                </w:tcPr>
                <w:p w14:paraId="6A430948" w14:textId="77777777" w:rsidR="00D910E3" w:rsidRDefault="00E72E10">
                  <w:r>
                    <w:t>Ex officio</w:t>
                  </w:r>
                </w:p>
                <w:p w14:paraId="28C80625" w14:textId="77777777" w:rsidR="00D910E3" w:rsidRDefault="00D910E3"/>
              </w:tc>
            </w:tr>
            <w:tr w:rsidR="00D910E3" w14:paraId="5BAAF54E" w14:textId="77777777" w:rsidTr="00344C09">
              <w:tc>
                <w:tcPr>
                  <w:tcW w:w="588" w:type="dxa"/>
                </w:tcPr>
                <w:p w14:paraId="540EA78E" w14:textId="77777777" w:rsidR="00D910E3" w:rsidRDefault="00D910E3"/>
              </w:tc>
              <w:tc>
                <w:tcPr>
                  <w:tcW w:w="3721" w:type="dxa"/>
                </w:tcPr>
                <w:p w14:paraId="513EDF75" w14:textId="77777777" w:rsidR="00D910E3" w:rsidRDefault="00D910E3"/>
              </w:tc>
              <w:tc>
                <w:tcPr>
                  <w:tcW w:w="2617" w:type="dxa"/>
                </w:tcPr>
                <w:p w14:paraId="740F626B" w14:textId="77777777" w:rsidR="00D910E3" w:rsidRDefault="00D910E3"/>
              </w:tc>
              <w:tc>
                <w:tcPr>
                  <w:tcW w:w="2203" w:type="dxa"/>
                </w:tcPr>
                <w:p w14:paraId="0D3F97B0" w14:textId="77777777" w:rsidR="00D910E3" w:rsidRDefault="00D910E3"/>
              </w:tc>
            </w:tr>
          </w:tbl>
          <w:p w14:paraId="48919E48" w14:textId="77777777" w:rsidR="00D910E3" w:rsidRDefault="00E72E10">
            <w:r>
              <w:t>* The number in brackets indicates whether the member is serving their first or second term of office.</w:t>
            </w:r>
          </w:p>
          <w:p w14:paraId="15720E0B" w14:textId="77777777" w:rsidR="00340F3B" w:rsidRPr="00340F3B" w:rsidRDefault="00340F3B"/>
          <w:p w14:paraId="53918653" w14:textId="059717C2" w:rsidR="00DB6E79" w:rsidRPr="0030019E" w:rsidRDefault="00E72E10" w:rsidP="00340F3B">
            <w:r>
              <w:rPr>
                <w:b/>
              </w:rPr>
              <w:t>Approved:</w:t>
            </w:r>
            <w:r w:rsidR="00DB6E79">
              <w:t xml:space="preserve">  </w:t>
            </w:r>
            <w:r w:rsidR="00987DAC">
              <w:t>September 2025</w:t>
            </w:r>
          </w:p>
        </w:tc>
      </w:tr>
    </w:tbl>
    <w:p w14:paraId="3C7C9088" w14:textId="77777777" w:rsidR="00D910E3" w:rsidRDefault="00D910E3">
      <w:pPr>
        <w:pStyle w:val="Heading1"/>
        <w:spacing w:before="1"/>
        <w:ind w:left="0" w:right="6322" w:firstLine="0"/>
        <w:rPr>
          <w:b w:val="0"/>
        </w:rPr>
      </w:pPr>
    </w:p>
    <w:sectPr w:rsidR="00D910E3">
      <w:footerReference w:type="default" r:id="rId7"/>
      <w:headerReference w:type="first" r:id="rId8"/>
      <w:pgSz w:w="11910" w:h="16840"/>
      <w:pgMar w:top="1580" w:right="1320" w:bottom="1100" w:left="700" w:header="0" w:footer="91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5533C" w14:textId="77777777" w:rsidR="006106F8" w:rsidRDefault="006106F8">
      <w:r>
        <w:separator/>
      </w:r>
    </w:p>
  </w:endnote>
  <w:endnote w:type="continuationSeparator" w:id="0">
    <w:p w14:paraId="7C5BFAE3" w14:textId="77777777" w:rsidR="006106F8" w:rsidRDefault="00610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57222" w14:textId="77777777" w:rsidR="00D910E3" w:rsidRDefault="00E72E10">
    <w:pPr>
      <w:pBdr>
        <w:top w:val="nil"/>
        <w:left w:val="nil"/>
        <w:bottom w:val="nil"/>
        <w:right w:val="nil"/>
        <w:between w:val="nil"/>
      </w:pBdr>
      <w:tabs>
        <w:tab w:val="center" w:pos="4513"/>
        <w:tab w:val="right" w:pos="9026"/>
      </w:tabs>
      <w:ind w:left="2687" w:firstLine="4513"/>
      <w:jc w:val="center"/>
      <w:rPr>
        <w:color w:val="000000"/>
      </w:rPr>
    </w:pPr>
    <w:r>
      <w:rPr>
        <w:i/>
        <w:color w:val="000000"/>
        <w:sz w:val="18"/>
        <w:szCs w:val="18"/>
      </w:rPr>
      <w:fldChar w:fldCharType="begin"/>
    </w:r>
    <w:r>
      <w:rPr>
        <w:i/>
        <w:color w:val="000000"/>
        <w:sz w:val="18"/>
        <w:szCs w:val="18"/>
      </w:rPr>
      <w:instrText>PAGE</w:instrText>
    </w:r>
    <w:r>
      <w:rPr>
        <w:i/>
        <w:color w:val="000000"/>
        <w:sz w:val="18"/>
        <w:szCs w:val="18"/>
      </w:rPr>
      <w:fldChar w:fldCharType="separate"/>
    </w:r>
    <w:r w:rsidR="009C1EAF">
      <w:rPr>
        <w:i/>
        <w:noProof/>
        <w:color w:val="000000"/>
        <w:sz w:val="18"/>
        <w:szCs w:val="18"/>
      </w:rPr>
      <w:t>3</w:t>
    </w:r>
    <w:r>
      <w:rPr>
        <w:i/>
        <w:color w:val="000000"/>
        <w:sz w:val="18"/>
        <w:szCs w:val="18"/>
      </w:rPr>
      <w:fldChar w:fldCharType="end"/>
    </w:r>
    <w:r>
      <w:rPr>
        <w:i/>
        <w:color w:val="000000"/>
        <w:sz w:val="18"/>
        <w:szCs w:val="18"/>
      </w:rPr>
      <w:t xml:space="preserve"> of </w:t>
    </w:r>
    <w:r>
      <w:rPr>
        <w:i/>
        <w:color w:val="000000"/>
        <w:sz w:val="18"/>
        <w:szCs w:val="18"/>
      </w:rPr>
      <w:fldChar w:fldCharType="begin"/>
    </w:r>
    <w:r>
      <w:rPr>
        <w:i/>
        <w:color w:val="000000"/>
        <w:sz w:val="18"/>
        <w:szCs w:val="18"/>
      </w:rPr>
      <w:instrText>NUMPAGES</w:instrText>
    </w:r>
    <w:r>
      <w:rPr>
        <w:i/>
        <w:color w:val="000000"/>
        <w:sz w:val="18"/>
        <w:szCs w:val="18"/>
      </w:rPr>
      <w:fldChar w:fldCharType="separate"/>
    </w:r>
    <w:r w:rsidR="009C1EAF">
      <w:rPr>
        <w:i/>
        <w:noProof/>
        <w:color w:val="000000"/>
        <w:sz w:val="18"/>
        <w:szCs w:val="18"/>
      </w:rPr>
      <w:t>3</w:t>
    </w:r>
    <w:r>
      <w:rPr>
        <w:i/>
        <w:color w:val="000000"/>
        <w:sz w:val="18"/>
        <w:szCs w:val="18"/>
      </w:rPr>
      <w:fldChar w:fldCharType="end"/>
    </w:r>
  </w:p>
  <w:p w14:paraId="19F8409F" w14:textId="77777777" w:rsidR="00D910E3" w:rsidRDefault="00D910E3">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F2A2B" w14:textId="77777777" w:rsidR="006106F8" w:rsidRDefault="006106F8">
      <w:r>
        <w:separator/>
      </w:r>
    </w:p>
  </w:footnote>
  <w:footnote w:type="continuationSeparator" w:id="0">
    <w:p w14:paraId="214EBFF0" w14:textId="77777777" w:rsidR="006106F8" w:rsidRDefault="00610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BE495" w14:textId="77777777" w:rsidR="00D910E3" w:rsidRDefault="00E72E10">
    <w:pPr>
      <w:pBdr>
        <w:top w:val="nil"/>
        <w:left w:val="nil"/>
        <w:bottom w:val="nil"/>
        <w:right w:val="nil"/>
        <w:between w:val="nil"/>
      </w:pBdr>
      <w:tabs>
        <w:tab w:val="center" w:pos="4513"/>
        <w:tab w:val="right" w:pos="9026"/>
      </w:tabs>
      <w:rPr>
        <w:color w:val="000000"/>
      </w:rPr>
    </w:pPr>
    <w:r>
      <w:rPr>
        <w:noProof/>
        <w:lang w:val="en-GB"/>
      </w:rPr>
      <w:drawing>
        <wp:anchor distT="0" distB="0" distL="0" distR="0" simplePos="0" relativeHeight="251658240" behindDoc="0" locked="0" layoutInCell="1" hidden="0" allowOverlap="1" wp14:anchorId="534B1CCC" wp14:editId="039CA058">
          <wp:simplePos x="0" y="0"/>
          <wp:positionH relativeFrom="column">
            <wp:posOffset>-444499</wp:posOffset>
          </wp:positionH>
          <wp:positionV relativeFrom="paragraph">
            <wp:posOffset>0</wp:posOffset>
          </wp:positionV>
          <wp:extent cx="7560564" cy="1371599"/>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60564" cy="1371599"/>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0E3"/>
    <w:rsid w:val="000950A5"/>
    <w:rsid w:val="000D0050"/>
    <w:rsid w:val="000D6EEE"/>
    <w:rsid w:val="00135E65"/>
    <w:rsid w:val="001376DE"/>
    <w:rsid w:val="00170FBF"/>
    <w:rsid w:val="001A7CA7"/>
    <w:rsid w:val="002A1CCA"/>
    <w:rsid w:val="0030019E"/>
    <w:rsid w:val="00340F3B"/>
    <w:rsid w:val="00344C09"/>
    <w:rsid w:val="0035074E"/>
    <w:rsid w:val="003B44E5"/>
    <w:rsid w:val="004C030E"/>
    <w:rsid w:val="00515EF3"/>
    <w:rsid w:val="00541407"/>
    <w:rsid w:val="00571320"/>
    <w:rsid w:val="0060326D"/>
    <w:rsid w:val="006106F8"/>
    <w:rsid w:val="00652A8B"/>
    <w:rsid w:val="0067764D"/>
    <w:rsid w:val="0077053C"/>
    <w:rsid w:val="00795423"/>
    <w:rsid w:val="007D633A"/>
    <w:rsid w:val="00837EE9"/>
    <w:rsid w:val="008A0DAD"/>
    <w:rsid w:val="00987DAC"/>
    <w:rsid w:val="009C1EAF"/>
    <w:rsid w:val="00AB0461"/>
    <w:rsid w:val="00B05F79"/>
    <w:rsid w:val="00C97CF4"/>
    <w:rsid w:val="00D0646F"/>
    <w:rsid w:val="00D15664"/>
    <w:rsid w:val="00D174F1"/>
    <w:rsid w:val="00D910E3"/>
    <w:rsid w:val="00DB6E79"/>
    <w:rsid w:val="00DE7A50"/>
    <w:rsid w:val="00E17073"/>
    <w:rsid w:val="00E415B7"/>
    <w:rsid w:val="00E52293"/>
    <w:rsid w:val="00E72E10"/>
    <w:rsid w:val="00E778C2"/>
    <w:rsid w:val="00F026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1956C"/>
  <w15:docId w15:val="{185ED4E4-13E8-4CE8-8DD0-99DC4E665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204"/>
      <w:ind w:left="472" w:hanging="360"/>
      <w:outlineLvl w:val="0"/>
    </w:pPr>
    <w:rPr>
      <w:b/>
      <w:bCs/>
      <w:sz w:val="21"/>
      <w:szCs w:val="21"/>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1730" w:hanging="737"/>
    </w:pPr>
  </w:style>
  <w:style w:type="paragraph" w:customStyle="1" w:styleId="TableParagraph">
    <w:name w:val="Table Paragraph"/>
    <w:basedOn w:val="Normal"/>
    <w:uiPriority w:val="1"/>
    <w:qFormat/>
    <w:pPr>
      <w:spacing w:before="117"/>
      <w:ind w:left="149"/>
    </w:pPr>
  </w:style>
  <w:style w:type="table" w:styleId="TableGrid">
    <w:name w:val="Table Grid"/>
    <w:basedOn w:val="TableNormal"/>
    <w:uiPriority w:val="59"/>
    <w:rsid w:val="00C74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1649"/>
    <w:pPr>
      <w:tabs>
        <w:tab w:val="center" w:pos="4513"/>
        <w:tab w:val="right" w:pos="9026"/>
      </w:tabs>
    </w:pPr>
  </w:style>
  <w:style w:type="character" w:customStyle="1" w:styleId="HeaderChar">
    <w:name w:val="Header Char"/>
    <w:basedOn w:val="DefaultParagraphFont"/>
    <w:link w:val="Header"/>
    <w:uiPriority w:val="99"/>
    <w:rsid w:val="006D1649"/>
    <w:rPr>
      <w:rFonts w:ascii="Arial" w:eastAsia="Arial" w:hAnsi="Arial" w:cs="Arial"/>
    </w:rPr>
  </w:style>
  <w:style w:type="paragraph" w:styleId="Footer">
    <w:name w:val="footer"/>
    <w:basedOn w:val="Normal"/>
    <w:link w:val="FooterChar"/>
    <w:uiPriority w:val="99"/>
    <w:unhideWhenUsed/>
    <w:rsid w:val="006D1649"/>
    <w:pPr>
      <w:tabs>
        <w:tab w:val="center" w:pos="4513"/>
        <w:tab w:val="right" w:pos="9026"/>
      </w:tabs>
    </w:pPr>
  </w:style>
  <w:style w:type="character" w:customStyle="1" w:styleId="FooterChar">
    <w:name w:val="Footer Char"/>
    <w:basedOn w:val="DefaultParagraphFont"/>
    <w:link w:val="Footer"/>
    <w:uiPriority w:val="99"/>
    <w:rsid w:val="006D1649"/>
    <w:rPr>
      <w:rFonts w:ascii="Arial" w:eastAsia="Arial" w:hAnsi="Arial" w:cs="Arial"/>
    </w:rPr>
  </w:style>
  <w:style w:type="character" w:styleId="CommentReference">
    <w:name w:val="annotation reference"/>
    <w:basedOn w:val="DefaultParagraphFont"/>
    <w:uiPriority w:val="99"/>
    <w:semiHidden/>
    <w:unhideWhenUsed/>
    <w:rsid w:val="00F22DF7"/>
    <w:rPr>
      <w:sz w:val="16"/>
      <w:szCs w:val="16"/>
    </w:rPr>
  </w:style>
  <w:style w:type="paragraph" w:styleId="CommentText">
    <w:name w:val="annotation text"/>
    <w:basedOn w:val="Normal"/>
    <w:link w:val="CommentTextChar"/>
    <w:uiPriority w:val="99"/>
    <w:semiHidden/>
    <w:unhideWhenUsed/>
    <w:rsid w:val="00F22DF7"/>
    <w:rPr>
      <w:sz w:val="20"/>
      <w:szCs w:val="20"/>
    </w:rPr>
  </w:style>
  <w:style w:type="character" w:customStyle="1" w:styleId="CommentTextChar">
    <w:name w:val="Comment Text Char"/>
    <w:basedOn w:val="DefaultParagraphFont"/>
    <w:link w:val="CommentText"/>
    <w:uiPriority w:val="99"/>
    <w:semiHidden/>
    <w:rsid w:val="00F22DF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22DF7"/>
    <w:rPr>
      <w:b/>
      <w:bCs/>
    </w:rPr>
  </w:style>
  <w:style w:type="character" w:customStyle="1" w:styleId="CommentSubjectChar">
    <w:name w:val="Comment Subject Char"/>
    <w:basedOn w:val="CommentTextChar"/>
    <w:link w:val="CommentSubject"/>
    <w:uiPriority w:val="99"/>
    <w:semiHidden/>
    <w:rsid w:val="00F22DF7"/>
    <w:rPr>
      <w:rFonts w:ascii="Arial" w:eastAsia="Arial" w:hAnsi="Arial" w:cs="Arial"/>
      <w:b/>
      <w:bCs/>
      <w:sz w:val="20"/>
      <w:szCs w:val="20"/>
    </w:rPr>
  </w:style>
  <w:style w:type="paragraph" w:styleId="BalloonText">
    <w:name w:val="Balloon Text"/>
    <w:basedOn w:val="Normal"/>
    <w:link w:val="BalloonTextChar"/>
    <w:uiPriority w:val="99"/>
    <w:semiHidden/>
    <w:unhideWhenUsed/>
    <w:rsid w:val="00F22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DF7"/>
    <w:rPr>
      <w:rFonts w:ascii="Segoe UI" w:eastAsia="Arial"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835665">
      <w:bodyDiv w:val="1"/>
      <w:marLeft w:val="0"/>
      <w:marRight w:val="0"/>
      <w:marTop w:val="0"/>
      <w:marBottom w:val="0"/>
      <w:divBdr>
        <w:top w:val="none" w:sz="0" w:space="0" w:color="auto"/>
        <w:left w:val="none" w:sz="0" w:space="0" w:color="auto"/>
        <w:bottom w:val="none" w:sz="0" w:space="0" w:color="auto"/>
        <w:right w:val="none" w:sz="0" w:space="0" w:color="auto"/>
      </w:divBdr>
      <w:divsChild>
        <w:div w:id="19180535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ljChVr+PPZSLcw+ip6BDWSRH8w==">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1094</Words>
  <Characters>5842</Characters>
  <Application>Microsoft Office Word</Application>
  <DocSecurity>0</DocSecurity>
  <Lines>307</Lines>
  <Paragraphs>173</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Helene Augar</dc:creator>
  <cp:lastModifiedBy>Maria Crawford</cp:lastModifiedBy>
  <cp:revision>9</cp:revision>
  <dcterms:created xsi:type="dcterms:W3CDTF">2024-09-12T18:36:00Z</dcterms:created>
  <dcterms:modified xsi:type="dcterms:W3CDTF">2025-11-24T18:55:00Z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2017-10-31T00:00:00Z</vt:filetime>
  </property>
  <property fmtid="{D5CDD505-2E9C-101B-9397-08002B2CF9AE}" pid="3" name="Creator">
    <vt:lpwstr>Microsoft® Word 2010</vt:lpwstr>
  </property>
  <property fmtid="{D5CDD505-2E9C-101B-9397-08002B2CF9AE}" pid="4" name="LastSaved">
    <vt:filetime>2017-11-10T00:00:00Z</vt:filetime>
  </property>
</Properties>
</file>